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04E1619">
      <w:pPr>
        <w:pStyle w:val="10"/>
        <w:spacing w:before="0" w:beforeAutospacing="0" w:after="0" w:afterAutospacing="0" w:line="560" w:lineRule="exact"/>
        <w:ind w:right="420" w:firstLine="883" w:firstLineChars="200"/>
        <w:jc w:val="center"/>
        <w:rPr>
          <w:rFonts w:hint="eastAsia" w:ascii="仿宋_GB2312" w:hAnsi="仿宋_GB2312" w:eastAsia="仿宋_GB2312" w:cs="仿宋_GB2312"/>
          <w:b/>
          <w:bCs/>
          <w:kern w:val="2"/>
          <w:sz w:val="44"/>
          <w:szCs w:val="44"/>
        </w:rPr>
      </w:pPr>
      <w:r>
        <w:rPr>
          <w:rFonts w:hint="eastAsia" w:ascii="仿宋_GB2312" w:hAnsi="仿宋_GB2312" w:eastAsia="仿宋_GB2312" w:cs="仿宋_GB2312"/>
          <w:b/>
          <w:bCs/>
          <w:kern w:val="2"/>
          <w:sz w:val="44"/>
          <w:szCs w:val="44"/>
        </w:rPr>
        <w:t>竞</w:t>
      </w:r>
      <w:r>
        <w:rPr>
          <w:rFonts w:ascii="仿宋_GB2312" w:hAnsi="仿宋_GB2312" w:eastAsia="仿宋_GB2312" w:cs="仿宋_GB2312"/>
          <w:b/>
          <w:bCs/>
          <w:kern w:val="2"/>
          <w:sz w:val="44"/>
          <w:szCs w:val="44"/>
        </w:rPr>
        <w:t xml:space="preserve"> </w:t>
      </w:r>
      <w:r>
        <w:rPr>
          <w:rFonts w:hint="eastAsia" w:ascii="仿宋_GB2312" w:hAnsi="仿宋_GB2312" w:eastAsia="仿宋_GB2312" w:cs="仿宋_GB2312"/>
          <w:b/>
          <w:bCs/>
          <w:kern w:val="2"/>
          <w:sz w:val="44"/>
          <w:szCs w:val="44"/>
        </w:rPr>
        <w:t>买</w:t>
      </w:r>
      <w:r>
        <w:rPr>
          <w:rFonts w:ascii="仿宋_GB2312" w:hAnsi="仿宋_GB2312" w:eastAsia="仿宋_GB2312" w:cs="仿宋_GB2312"/>
          <w:b/>
          <w:bCs/>
          <w:kern w:val="2"/>
          <w:sz w:val="44"/>
          <w:szCs w:val="44"/>
        </w:rPr>
        <w:t xml:space="preserve"> </w:t>
      </w:r>
      <w:r>
        <w:rPr>
          <w:rFonts w:hint="eastAsia" w:ascii="仿宋_GB2312" w:hAnsi="仿宋_GB2312" w:eastAsia="仿宋_GB2312" w:cs="仿宋_GB2312"/>
          <w:b/>
          <w:bCs/>
          <w:kern w:val="2"/>
          <w:sz w:val="44"/>
          <w:szCs w:val="44"/>
        </w:rPr>
        <w:t>须</w:t>
      </w:r>
      <w:r>
        <w:rPr>
          <w:rFonts w:ascii="仿宋_GB2312" w:hAnsi="仿宋_GB2312" w:eastAsia="仿宋_GB2312" w:cs="仿宋_GB2312"/>
          <w:b/>
          <w:bCs/>
          <w:kern w:val="2"/>
          <w:sz w:val="44"/>
          <w:szCs w:val="44"/>
        </w:rPr>
        <w:t xml:space="preserve"> </w:t>
      </w:r>
      <w:r>
        <w:rPr>
          <w:rFonts w:hint="eastAsia" w:ascii="仿宋_GB2312" w:hAnsi="仿宋_GB2312" w:eastAsia="仿宋_GB2312" w:cs="仿宋_GB2312"/>
          <w:b/>
          <w:bCs/>
          <w:kern w:val="2"/>
          <w:sz w:val="44"/>
          <w:szCs w:val="44"/>
        </w:rPr>
        <w:t>知</w:t>
      </w:r>
    </w:p>
    <w:p w14:paraId="5EB2A947">
      <w:pPr>
        <w:pStyle w:val="10"/>
        <w:snapToGrid w:val="0"/>
        <w:spacing w:before="0" w:beforeAutospacing="0" w:after="0" w:afterAutospacing="0" w:line="300" w:lineRule="exact"/>
        <w:ind w:right="420" w:firstLine="880" w:firstLineChars="200"/>
        <w:jc w:val="center"/>
        <w:rPr>
          <w:rFonts w:hint="eastAsia" w:ascii="方正小标宋简体" w:eastAsia="方正小标宋简体"/>
          <w:b/>
          <w:bCs/>
          <w:sz w:val="44"/>
          <w:szCs w:val="44"/>
          <w:shd w:val="clear" w:color="auto" w:fill="FFFFFF"/>
        </w:rPr>
      </w:pPr>
    </w:p>
    <w:p w14:paraId="0714EDBA">
      <w:pPr>
        <w:widowControl/>
        <w:snapToGrid w:val="0"/>
        <w:spacing w:line="320" w:lineRule="exact"/>
        <w:ind w:firstLine="560" w:firstLineChars="200"/>
        <w:jc w:val="lef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受深圳市</w:t>
      </w:r>
      <w:r>
        <w:rPr>
          <w:rFonts w:hint="eastAsia" w:ascii="仿宋_GB2312" w:hAnsi="仿宋_GB2312" w:eastAsia="仿宋_GB2312" w:cs="仿宋_GB2312"/>
          <w:sz w:val="28"/>
          <w:szCs w:val="28"/>
          <w:lang w:val="en-US" w:eastAsia="zh-CN"/>
        </w:rPr>
        <w:t>光明区财政局（</w:t>
      </w:r>
      <w:r>
        <w:rPr>
          <w:rFonts w:hint="eastAsia" w:ascii="仿宋_GB2312" w:hAnsi="仿宋_GB2312" w:eastAsia="仿宋_GB2312" w:cs="仿宋_GB2312"/>
          <w:sz w:val="28"/>
          <w:szCs w:val="28"/>
        </w:rPr>
        <w:t>以下简称委托人）委托，</w:t>
      </w:r>
      <w:r>
        <w:rPr>
          <w:rFonts w:hint="eastAsia" w:ascii="仿宋_GB2312" w:hAnsi="仿宋_GB2312" w:eastAsia="仿宋_GB2312" w:cs="仿宋_GB2312"/>
          <w:sz w:val="28"/>
          <w:szCs w:val="28"/>
          <w:lang w:val="en-US" w:eastAsia="zh-CN"/>
        </w:rPr>
        <w:t>广东迅兴拍卖有限公司</w:t>
      </w:r>
      <w:r>
        <w:rPr>
          <w:rFonts w:hint="eastAsia" w:ascii="仿宋_GB2312" w:hAnsi="仿宋_GB2312" w:eastAsia="仿宋_GB2312" w:cs="仿宋_GB2312"/>
          <w:sz w:val="28"/>
          <w:szCs w:val="28"/>
        </w:rPr>
        <w:t>在深圳交易集团有限公司（深圳公共资源交易中心）产权交易平台</w:t>
      </w:r>
      <w:r>
        <w:fldChar w:fldCharType="begin"/>
      </w:r>
      <w:r>
        <w:instrText xml:space="preserve"> HYPERLINK "https://zccz.szggzy.com/" </w:instrText>
      </w:r>
      <w:r>
        <w:fldChar w:fldCharType="separate"/>
      </w:r>
      <w:r>
        <w:rPr>
          <w:rStyle w:val="7"/>
          <w:rFonts w:ascii="仿宋_GB2312" w:hAnsi="仿宋_GB2312" w:eastAsia="仿宋_GB2312" w:cs="仿宋_GB2312"/>
          <w:color w:val="auto"/>
          <w:sz w:val="28"/>
          <w:szCs w:val="28"/>
          <w:u w:val="none"/>
        </w:rPr>
        <w:t>https://zccz.szggzy.com/</w:t>
      </w:r>
      <w:r>
        <w:rPr>
          <w:rStyle w:val="7"/>
          <w:rFonts w:ascii="仿宋_GB2312" w:hAnsi="仿宋_GB2312" w:eastAsia="仿宋_GB2312" w:cs="仿宋_GB2312"/>
          <w:color w:val="auto"/>
          <w:sz w:val="28"/>
          <w:szCs w:val="28"/>
          <w:u w:val="none"/>
        </w:rPr>
        <w:fldChar w:fldCharType="end"/>
      </w:r>
      <w:r>
        <w:rPr>
          <w:rStyle w:val="7"/>
          <w:rFonts w:hint="eastAsia" w:ascii="仿宋_GB2312" w:hAnsi="仿宋_GB2312" w:eastAsia="仿宋_GB2312" w:cs="仿宋_GB2312"/>
          <w:color w:val="auto"/>
          <w:sz w:val="28"/>
          <w:szCs w:val="28"/>
          <w:u w:val="none"/>
        </w:rPr>
        <w:t>（</w:t>
      </w:r>
      <w:r>
        <w:rPr>
          <w:rFonts w:hint="eastAsia" w:ascii="仿宋_GB2312" w:hAnsi="仿宋_GB2312" w:eastAsia="仿宋_GB2312" w:cs="仿宋_GB2312"/>
          <w:sz w:val="28"/>
          <w:szCs w:val="28"/>
        </w:rPr>
        <w:t>手机</w:t>
      </w:r>
      <w:r>
        <w:rPr>
          <w:rFonts w:ascii="仿宋_GB2312" w:hAnsi="仿宋_GB2312" w:eastAsia="仿宋_GB2312" w:cs="仿宋_GB2312"/>
          <w:sz w:val="28"/>
          <w:szCs w:val="28"/>
        </w:rPr>
        <w:t>App</w:t>
      </w:r>
      <w:r>
        <w:rPr>
          <w:rFonts w:hint="eastAsia" w:ascii="仿宋_GB2312" w:hAnsi="仿宋_GB2312" w:eastAsia="仿宋_GB2312" w:cs="仿宋_GB2312"/>
          <w:sz w:val="28"/>
          <w:szCs w:val="28"/>
        </w:rPr>
        <w:t>“深圳联交所”）公开拍卖一批罚没物资。现就有关事宜敬告各位竞买人：</w:t>
      </w:r>
    </w:p>
    <w:p w14:paraId="48F09F62">
      <w:pPr>
        <w:pStyle w:val="10"/>
        <w:snapToGrid w:val="0"/>
        <w:spacing w:before="0" w:beforeAutospacing="0" w:after="0" w:afterAutospacing="0" w:line="320" w:lineRule="exact"/>
        <w:ind w:firstLine="560" w:firstLineChars="200"/>
        <w:jc w:val="both"/>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一、竞价方式：本次竞价设置延时出价功能，在竞价结束前，当标的物的竞拍时间只剩最后</w:t>
      </w:r>
      <w:r>
        <w:rPr>
          <w:rFonts w:ascii="仿宋_GB2312" w:hAnsi="仿宋_GB2312" w:eastAsia="仿宋_GB2312" w:cs="仿宋_GB2312"/>
          <w:sz w:val="28"/>
          <w:szCs w:val="28"/>
        </w:rPr>
        <w:t>5</w:t>
      </w:r>
      <w:r>
        <w:rPr>
          <w:rFonts w:hint="eastAsia" w:ascii="仿宋_GB2312" w:hAnsi="仿宋_GB2312" w:eastAsia="仿宋_GB2312" w:cs="仿宋_GB2312"/>
          <w:sz w:val="28"/>
          <w:szCs w:val="28"/>
        </w:rPr>
        <w:t>分钟时，</w:t>
      </w:r>
      <w:r>
        <w:rPr>
          <w:rFonts w:ascii="仿宋_GB2312" w:hAnsi="仿宋_GB2312" w:eastAsia="仿宋_GB2312" w:cs="仿宋_GB2312"/>
          <w:sz w:val="28"/>
          <w:szCs w:val="28"/>
        </w:rPr>
        <w:t>5</w:t>
      </w:r>
      <w:r>
        <w:rPr>
          <w:rFonts w:hint="eastAsia" w:ascii="仿宋_GB2312" w:hAnsi="仿宋_GB2312" w:eastAsia="仿宋_GB2312" w:cs="仿宋_GB2312"/>
          <w:sz w:val="28"/>
          <w:szCs w:val="28"/>
        </w:rPr>
        <w:t>分钟内如果有人出价即循环延时</w:t>
      </w:r>
      <w:r>
        <w:rPr>
          <w:rFonts w:ascii="仿宋_GB2312" w:hAnsi="仿宋_GB2312" w:eastAsia="仿宋_GB2312" w:cs="仿宋_GB2312"/>
          <w:sz w:val="28"/>
          <w:szCs w:val="28"/>
        </w:rPr>
        <w:t>5</w:t>
      </w:r>
      <w:r>
        <w:rPr>
          <w:rFonts w:hint="eastAsia" w:ascii="仿宋_GB2312" w:hAnsi="仿宋_GB2312" w:eastAsia="仿宋_GB2312" w:cs="仿宋_GB2312"/>
          <w:sz w:val="28"/>
          <w:szCs w:val="28"/>
        </w:rPr>
        <w:t>分钟。</w:t>
      </w:r>
    </w:p>
    <w:p w14:paraId="164896C7">
      <w:pPr>
        <w:pStyle w:val="10"/>
        <w:snapToGrid w:val="0"/>
        <w:spacing w:before="0" w:beforeAutospacing="0" w:after="0" w:afterAutospacing="0" w:line="320" w:lineRule="exact"/>
        <w:ind w:firstLine="560" w:firstLineChars="200"/>
        <w:jc w:val="both"/>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二、竞买人应具备条件：</w:t>
      </w:r>
      <w:r>
        <w:rPr>
          <w:rStyle w:val="11"/>
          <w:rFonts w:hint="eastAsia" w:ascii="仿宋_GB2312" w:hAnsi="仿宋_GB2312" w:eastAsia="仿宋_GB2312" w:cs="仿宋_GB2312"/>
          <w:sz w:val="28"/>
          <w:szCs w:val="28"/>
        </w:rPr>
        <w:t>凡具备完全民事行为能力的自然人、法人和其他组织</w:t>
      </w:r>
      <w:r>
        <w:rPr>
          <w:rFonts w:hint="eastAsia" w:ascii="仿宋_GB2312" w:hAnsi="仿宋_GB2312" w:eastAsia="仿宋_GB2312" w:cs="仿宋_GB2312"/>
          <w:sz w:val="28"/>
          <w:szCs w:val="28"/>
        </w:rPr>
        <w:t>均可参与竞买。</w:t>
      </w:r>
    </w:p>
    <w:p w14:paraId="495B6B22">
      <w:pPr>
        <w:pStyle w:val="10"/>
        <w:snapToGrid w:val="0"/>
        <w:spacing w:before="0" w:beforeAutospacing="0" w:after="0" w:afterAutospacing="0" w:line="320" w:lineRule="exact"/>
        <w:ind w:firstLine="560" w:firstLineChars="200"/>
        <w:jc w:val="both"/>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三、办理成交确认的主体应当与竞买人在产权交易平台注册并实名认证的竞买主体为同一人。</w:t>
      </w:r>
    </w:p>
    <w:p w14:paraId="5329E113">
      <w:pPr>
        <w:pStyle w:val="10"/>
        <w:snapToGrid w:val="0"/>
        <w:spacing w:before="0" w:beforeAutospacing="0" w:after="0" w:afterAutospacing="0" w:line="320" w:lineRule="exact"/>
        <w:ind w:firstLine="560" w:firstLineChars="200"/>
        <w:jc w:val="both"/>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四、竞买人在参与竞价前，应按深圳交易集团有限公司（深圳公共资源交易中心）产权交易平台系统的提示，报名并缴纳保证金，系统会自动冻结保证金。竞拍成交的，买受人冻结的保证金将按成交价款→平台服务费→拍卖佣金的顺序自动结算，剩余保证金款项解除锁定；保证金不足以抵扣以上三项费用的，买受人须在竞拍成交之时起10天内，通过平台线上支付不足的拍卖成交价余款、拍卖佣金及平台服务费。</w:t>
      </w:r>
    </w:p>
    <w:p w14:paraId="08AC7B0F">
      <w:pPr>
        <w:pStyle w:val="10"/>
        <w:snapToGrid w:val="0"/>
        <w:spacing w:before="0" w:beforeAutospacing="0" w:after="0" w:afterAutospacing="0" w:line="320" w:lineRule="exact"/>
        <w:ind w:firstLine="560" w:firstLineChars="200"/>
        <w:jc w:val="both"/>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五、专厅模式说明：一个专厅包含多个标的，每个标的独立设置自身保证金金额，竞买人按专厅报名并交纳保证金，可交纳保证金金额范围为专厅内单个标的最小保证金到专厅内所有标的的保证金之和，拍卖期间可多次交纳（保证金专厅通用）。竞价过程，当竞买人对某个标的出最高价时，系统会按该标的要求的保证金动态锁定竞买人的保证金金额，如果已交纳保证金金额少于出价标的要求的保证金，系统会提示“您可用的保证金不足”此时可根据需要到保证金管理菜单继续交纳保证金。</w:t>
      </w:r>
    </w:p>
    <w:p w14:paraId="5BF9AA2A">
      <w:pPr>
        <w:pStyle w:val="10"/>
        <w:snapToGrid w:val="0"/>
        <w:spacing w:before="0" w:beforeAutospacing="0" w:after="0" w:afterAutospacing="0" w:line="320" w:lineRule="exact"/>
        <w:ind w:firstLine="560" w:firstLineChars="200"/>
        <w:jc w:val="both"/>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六、拍卖成交价不包含拍卖佣金及平台服务费，买受人除线上支付成交价款余款外须另外支付拍卖佣金（拍卖成交价的5%）及平台服务费（拍卖成交价的1%）。</w:t>
      </w:r>
    </w:p>
    <w:p w14:paraId="1402048C">
      <w:pPr>
        <w:pStyle w:val="10"/>
        <w:snapToGrid w:val="0"/>
        <w:spacing w:before="0" w:beforeAutospacing="0" w:after="0" w:afterAutospacing="0" w:line="32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七、买受人须在竞拍结束后规定时间10天内付清相关款项和费用。买受人逾期或不交纳拍卖成交价款、拍卖佣金及平台服务费，视为买受人放弃该标的物，属于买受人违约，买受人须承担违约责任，且保证金不予退还，同时委托人有权对该标的物另行处置。</w:t>
      </w:r>
    </w:p>
    <w:p w14:paraId="2C7528EE">
      <w:pPr>
        <w:pStyle w:val="10"/>
        <w:snapToGrid w:val="0"/>
        <w:spacing w:before="0" w:beforeAutospacing="0" w:after="0" w:afterAutospacing="0" w:line="32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八、买受人付清相关款项和费用后选择自提或委托他人提货的，须在规定时间提货，逾期不提货所造成的损失由买受人自行承担，且买受人须承担相应违约责任，委托人有权对该标的物另行处置。</w:t>
      </w:r>
    </w:p>
    <w:p w14:paraId="25B00389">
      <w:pPr>
        <w:pStyle w:val="10"/>
        <w:snapToGrid w:val="0"/>
        <w:spacing w:before="0" w:beforeAutospacing="0" w:after="0" w:afterAutospacing="0" w:line="320" w:lineRule="exact"/>
        <w:ind w:firstLine="560" w:firstLineChars="200"/>
        <w:jc w:val="both"/>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九、竞买人须妥善保管本人的账户及密码，任何以注册账户登录和参与竞买的操作，均视为本人的行为。</w:t>
      </w:r>
    </w:p>
    <w:p w14:paraId="6C8466C6">
      <w:pPr>
        <w:snapToGrid w:val="0"/>
        <w:spacing w:line="32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十、拍卖标的物在印刷、照片、视频、网页显示中的色彩、形态、比例、质感等与现场实物有差异的，应以现场实物为准。</w:t>
      </w:r>
    </w:p>
    <w:p w14:paraId="2E67A920">
      <w:pPr>
        <w:snapToGrid w:val="0"/>
        <w:spacing w:line="32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十一、本次竞拍活动遵循“公开、公平、公正、诚实信用”的原则，具备法律效力。竞买人在竞拍前须详细阅读本《竞买须知》及《拍卖公告》，</w:t>
      </w:r>
      <w:r>
        <w:rPr>
          <w:rFonts w:ascii="仿宋_GB2312" w:hAnsi="仿宋_GB2312" w:eastAsia="仿宋_GB2312" w:cs="仿宋_GB2312"/>
          <w:sz w:val="28"/>
          <w:szCs w:val="28"/>
        </w:rPr>
        <w:t xml:space="preserve"> </w:t>
      </w:r>
      <w:r>
        <w:rPr>
          <w:rFonts w:hint="eastAsia" w:ascii="仿宋_GB2312" w:hAnsi="仿宋_GB2312" w:eastAsia="仿宋_GB2312" w:cs="仿宋_GB2312"/>
          <w:sz w:val="28"/>
          <w:szCs w:val="28"/>
        </w:rPr>
        <w:t>并自愿遵守各项条款，对自己的竞拍行为承担法律责任。</w:t>
      </w:r>
    </w:p>
    <w:p w14:paraId="0DF95D7A">
      <w:pPr>
        <w:snapToGrid w:val="0"/>
        <w:spacing w:line="320" w:lineRule="exact"/>
        <w:rPr>
          <w:rFonts w:hint="eastAsia" w:ascii="仿宋_GB2312" w:hAnsi="仿宋_GB2312" w:eastAsia="仿宋_GB2312" w:cs="仿宋_GB2312"/>
          <w:sz w:val="28"/>
          <w:szCs w:val="28"/>
        </w:rPr>
      </w:pPr>
    </w:p>
    <w:p w14:paraId="1E5D1E9C">
      <w:pPr>
        <w:snapToGrid w:val="0"/>
        <w:spacing w:line="320" w:lineRule="exact"/>
        <w:ind w:left="4620" w:leftChars="200" w:hanging="4200" w:hangingChars="1500"/>
        <w:jc w:val="lef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14:paraId="6387F9B1">
      <w:pPr>
        <w:snapToGrid w:val="0"/>
        <w:spacing w:line="320" w:lineRule="exact"/>
        <w:ind w:left="5389" w:leftChars="2433" w:hanging="280" w:hangingChars="100"/>
        <w:jc w:val="left"/>
        <w:rPr>
          <w:rFonts w:hint="eastAsia" w:ascii="仿宋_GB2312" w:hAnsi="仿宋_GB2312" w:eastAsia="仿宋_GB2312" w:cs="仿宋_GB2312"/>
          <w:color w:val="222222"/>
          <w:kern w:val="0"/>
          <w:sz w:val="28"/>
          <w:szCs w:val="28"/>
        </w:rPr>
      </w:pPr>
      <w:r>
        <w:rPr>
          <w:rFonts w:hint="eastAsia" w:ascii="仿宋_GB2312" w:hAnsi="仿宋_GB2312" w:eastAsia="仿宋_GB2312" w:cs="仿宋_GB2312"/>
          <w:sz w:val="28"/>
          <w:szCs w:val="28"/>
          <w:lang w:val="en-US" w:eastAsia="zh-CN"/>
        </w:rPr>
        <w:t>广东迅兴拍卖有限公司</w:t>
      </w:r>
      <w:r>
        <w:rPr>
          <w:rFonts w:hint="eastAsia" w:ascii="仿宋_GB2312" w:hAnsi="仿宋_GB2312" w:eastAsia="仿宋_GB2312" w:cs="仿宋_GB2312"/>
          <w:sz w:val="28"/>
          <w:szCs w:val="28"/>
        </w:rPr>
        <w:t xml:space="preserve">                                          202</w:t>
      </w:r>
      <w:r>
        <w:rPr>
          <w:rFonts w:hint="eastAsia" w:ascii="仿宋_GB2312" w:hAnsi="仿宋_GB2312" w:eastAsia="仿宋_GB2312" w:cs="仿宋_GB2312"/>
          <w:sz w:val="28"/>
          <w:szCs w:val="28"/>
          <w:lang w:val="en-US" w:eastAsia="zh-CN"/>
        </w:rPr>
        <w:t>5</w:t>
      </w:r>
      <w:r>
        <w:rPr>
          <w:rFonts w:hint="eastAsia" w:ascii="仿宋_GB2312" w:hAnsi="仿宋_GB2312" w:eastAsia="仿宋_GB2312" w:cs="仿宋_GB2312"/>
          <w:sz w:val="28"/>
          <w:szCs w:val="28"/>
        </w:rPr>
        <w:t>年</w:t>
      </w:r>
      <w:r>
        <w:rPr>
          <w:rFonts w:hint="eastAsia" w:ascii="仿宋_GB2312" w:hAnsi="仿宋_GB2312" w:eastAsia="仿宋_GB2312" w:cs="仿宋_GB2312"/>
          <w:sz w:val="28"/>
          <w:szCs w:val="28"/>
          <w:lang w:val="en-US" w:eastAsia="zh-CN"/>
        </w:rPr>
        <w:t>10</w:t>
      </w:r>
      <w:r>
        <w:rPr>
          <w:rFonts w:hint="eastAsia" w:ascii="仿宋_GB2312" w:hAnsi="仿宋_GB2312" w:eastAsia="仿宋_GB2312" w:cs="仿宋_GB2312"/>
          <w:color w:val="000000"/>
          <w:sz w:val="28"/>
          <w:szCs w:val="28"/>
        </w:rPr>
        <w:t>月</w:t>
      </w:r>
      <w:r>
        <w:rPr>
          <w:rFonts w:hint="eastAsia" w:ascii="仿宋_GB2312" w:hAnsi="仿宋_GB2312" w:eastAsia="仿宋_GB2312" w:cs="仿宋_GB2312"/>
          <w:color w:val="000000"/>
          <w:sz w:val="28"/>
          <w:szCs w:val="28"/>
          <w:lang w:val="en-US" w:eastAsia="zh-CN"/>
        </w:rPr>
        <w:t>15</w:t>
      </w:r>
      <w:bookmarkStart w:id="0" w:name="_GoBack"/>
      <w:bookmarkEnd w:id="0"/>
      <w:r>
        <w:rPr>
          <w:rFonts w:hint="eastAsia" w:ascii="仿宋_GB2312" w:hAnsi="仿宋_GB2312" w:eastAsia="仿宋_GB2312" w:cs="仿宋_GB2312"/>
          <w:color w:val="000000"/>
          <w:sz w:val="28"/>
          <w:szCs w:val="28"/>
        </w:rPr>
        <w:t>日</w:t>
      </w:r>
    </w:p>
    <w:sectPr>
      <w:pgSz w:w="11906" w:h="16838"/>
      <w:pgMar w:top="1134" w:right="1134" w:bottom="737"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小标宋简体">
    <w:altName w:val="微软雅黑"/>
    <w:panose1 w:val="00000000000000000000"/>
    <w:charset w:val="86"/>
    <w:family w:val="roman"/>
    <w:pitch w:val="default"/>
    <w:sig w:usb0="00000000" w:usb1="00000000" w:usb2="00000012" w:usb3="00000000" w:csb0="00040001"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ZmNDlkMWU0Njc3NDNmNWY2MzllNDcyNTkwYTAzN2IifQ=="/>
    <w:docVar w:name="KSO_WPS_MARK_KEY" w:val="3d9749e6-83b0-4507-8f30-993ac9aef3ee"/>
  </w:docVars>
  <w:rsids>
    <w:rsidRoot w:val="002A3F61"/>
    <w:rsid w:val="00086613"/>
    <w:rsid w:val="000B56EE"/>
    <w:rsid w:val="000D036C"/>
    <w:rsid w:val="001F7C64"/>
    <w:rsid w:val="00215EE6"/>
    <w:rsid w:val="002366A8"/>
    <w:rsid w:val="002A3464"/>
    <w:rsid w:val="002A3F61"/>
    <w:rsid w:val="004018FA"/>
    <w:rsid w:val="00424A23"/>
    <w:rsid w:val="00492ED2"/>
    <w:rsid w:val="0049308F"/>
    <w:rsid w:val="004A5CD1"/>
    <w:rsid w:val="00527CC7"/>
    <w:rsid w:val="005949B4"/>
    <w:rsid w:val="005A08D4"/>
    <w:rsid w:val="005B3F9F"/>
    <w:rsid w:val="005E7F17"/>
    <w:rsid w:val="006603A1"/>
    <w:rsid w:val="006C1B6F"/>
    <w:rsid w:val="006D728C"/>
    <w:rsid w:val="006E04AE"/>
    <w:rsid w:val="006F416C"/>
    <w:rsid w:val="007A241B"/>
    <w:rsid w:val="007C03D6"/>
    <w:rsid w:val="007D5E6D"/>
    <w:rsid w:val="008253E4"/>
    <w:rsid w:val="008E16CB"/>
    <w:rsid w:val="00910C8B"/>
    <w:rsid w:val="00914E5B"/>
    <w:rsid w:val="00960EAE"/>
    <w:rsid w:val="009955F9"/>
    <w:rsid w:val="009A42C8"/>
    <w:rsid w:val="00A557BD"/>
    <w:rsid w:val="00A65830"/>
    <w:rsid w:val="00AA7D99"/>
    <w:rsid w:val="00AE6598"/>
    <w:rsid w:val="00AF2960"/>
    <w:rsid w:val="00AF4426"/>
    <w:rsid w:val="00B37977"/>
    <w:rsid w:val="00B71D47"/>
    <w:rsid w:val="00B92568"/>
    <w:rsid w:val="00BB40E9"/>
    <w:rsid w:val="00BB770E"/>
    <w:rsid w:val="00C36AE4"/>
    <w:rsid w:val="00C74093"/>
    <w:rsid w:val="00D071E9"/>
    <w:rsid w:val="00D134D8"/>
    <w:rsid w:val="00D826FB"/>
    <w:rsid w:val="00DC36FB"/>
    <w:rsid w:val="00DE6F7C"/>
    <w:rsid w:val="00DF5245"/>
    <w:rsid w:val="00E35EDB"/>
    <w:rsid w:val="00E8348C"/>
    <w:rsid w:val="00EE4E28"/>
    <w:rsid w:val="00F34A44"/>
    <w:rsid w:val="00F54AF8"/>
    <w:rsid w:val="00FD60BE"/>
    <w:rsid w:val="00FF25DB"/>
    <w:rsid w:val="1DF5EA99"/>
    <w:rsid w:val="25CB19ED"/>
    <w:rsid w:val="39E689A1"/>
    <w:rsid w:val="3E307E00"/>
    <w:rsid w:val="45613BFB"/>
    <w:rsid w:val="459A193C"/>
    <w:rsid w:val="47FB6FF1"/>
    <w:rsid w:val="485B2E7C"/>
    <w:rsid w:val="57F57DCD"/>
    <w:rsid w:val="5F41673E"/>
    <w:rsid w:val="5FAD3B68"/>
    <w:rsid w:val="603D01F0"/>
    <w:rsid w:val="66DE4DB6"/>
    <w:rsid w:val="77995AED"/>
    <w:rsid w:val="7ABFC73B"/>
    <w:rsid w:val="7FFC96FA"/>
    <w:rsid w:val="7FFD000B"/>
    <w:rsid w:val="DFF98981"/>
    <w:rsid w:val="FDFCB72E"/>
    <w:rsid w:val="FFFF82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3">
    <w:name w:val="header"/>
    <w:basedOn w:val="1"/>
    <w:link w:val="8"/>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4">
    <w:name w:val="Normal (Web)"/>
    <w:basedOn w:val="1"/>
    <w:unhideWhenUsed/>
    <w:qFormat/>
    <w:uiPriority w:val="99"/>
    <w:pPr>
      <w:spacing w:before="100" w:beforeAutospacing="1" w:after="100" w:afterAutospacing="1"/>
      <w:jc w:val="left"/>
    </w:pPr>
    <w:rPr>
      <w:kern w:val="0"/>
      <w:sz w:val="24"/>
    </w:rPr>
  </w:style>
  <w:style w:type="character" w:styleId="7">
    <w:name w:val="Hyperlink"/>
    <w:basedOn w:val="6"/>
    <w:unhideWhenUsed/>
    <w:qFormat/>
    <w:uiPriority w:val="99"/>
    <w:rPr>
      <w:color w:val="0563C1" w:themeColor="hyperlink"/>
      <w:u w:val="single"/>
      <w14:textFill>
        <w14:solidFill>
          <w14:schemeClr w14:val="hlink"/>
        </w14:solidFill>
      </w14:textFill>
    </w:rPr>
  </w:style>
  <w:style w:type="character" w:customStyle="1" w:styleId="8">
    <w:name w:val="页眉 字符"/>
    <w:basedOn w:val="6"/>
    <w:link w:val="3"/>
    <w:qFormat/>
    <w:uiPriority w:val="99"/>
    <w:rPr>
      <w:sz w:val="18"/>
      <w:szCs w:val="18"/>
    </w:rPr>
  </w:style>
  <w:style w:type="character" w:customStyle="1" w:styleId="9">
    <w:name w:val="页脚 字符"/>
    <w:basedOn w:val="6"/>
    <w:link w:val="2"/>
    <w:qFormat/>
    <w:uiPriority w:val="99"/>
    <w:rPr>
      <w:sz w:val="18"/>
      <w:szCs w:val="18"/>
    </w:rPr>
  </w:style>
  <w:style w:type="paragraph" w:customStyle="1" w:styleId="10">
    <w:name w:val="普通(网站)1"/>
    <w:basedOn w:val="1"/>
    <w:qFormat/>
    <w:uiPriority w:val="0"/>
    <w:pPr>
      <w:widowControl/>
      <w:spacing w:before="100" w:beforeAutospacing="1" w:after="100" w:afterAutospacing="1"/>
      <w:jc w:val="left"/>
    </w:pPr>
    <w:rPr>
      <w:rFonts w:ascii="宋体" w:hAnsi="宋体" w:cs="宋体"/>
      <w:kern w:val="0"/>
      <w:sz w:val="24"/>
    </w:rPr>
  </w:style>
  <w:style w:type="character" w:customStyle="1" w:styleId="11">
    <w:name w:val="awspan"/>
    <w:basedOn w:val="6"/>
    <w:qFormat/>
    <w:uiPriority w:val="0"/>
  </w:style>
  <w:style w:type="paragraph" w:customStyle="1" w:styleId="12">
    <w:name w:val="修订1"/>
    <w:hidden/>
    <w:semiHidden/>
    <w:qFormat/>
    <w:uiPriority w:val="99"/>
    <w:rPr>
      <w:rFonts w:ascii="Calibri" w:hAnsi="Calibri" w:eastAsia="宋体" w:cs="Times New Roman"/>
      <w:kern w:val="2"/>
      <w:sz w:val="21"/>
      <w:lang w:val="en-US" w:eastAsia="zh-CN" w:bidi="ar-SA"/>
    </w:rPr>
  </w:style>
  <w:style w:type="paragraph" w:customStyle="1" w:styleId="13">
    <w:name w:val="修订2"/>
    <w:hidden/>
    <w:semiHidden/>
    <w:qFormat/>
    <w:uiPriority w:val="99"/>
    <w:rPr>
      <w:rFonts w:ascii="Calibri" w:hAnsi="Calibri" w:eastAsia="宋体" w:cs="Times New Roman"/>
      <w:kern w:val="2"/>
      <w:sz w:val="21"/>
      <w:lang w:val="en-US" w:eastAsia="zh-CN" w:bidi="ar-SA"/>
    </w:rPr>
  </w:style>
  <w:style w:type="paragraph" w:customStyle="1" w:styleId="14">
    <w:name w:val="修订3"/>
    <w:hidden/>
    <w:semiHidden/>
    <w:qFormat/>
    <w:uiPriority w:val="99"/>
    <w:rPr>
      <w:rFonts w:ascii="Calibri" w:hAnsi="Calibri" w:eastAsia="宋体" w:cs="Times New Roman"/>
      <w:kern w:val="2"/>
      <w:sz w:val="21"/>
      <w:lang w:val="en-US" w:eastAsia="zh-CN" w:bidi="ar-SA"/>
    </w:rPr>
  </w:style>
  <w:style w:type="character" w:customStyle="1" w:styleId="15">
    <w:name w:val="未处理的提及1"/>
    <w:basedOn w:val="6"/>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1122</Words>
  <Characters>1155</Characters>
  <Lines>9</Lines>
  <Paragraphs>2</Paragraphs>
  <TotalTime>7</TotalTime>
  <ScaleCrop>false</ScaleCrop>
  <LinksUpToDate>false</LinksUpToDate>
  <CharactersWithSpaces>1231</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2024-09-16T11:39:00Z</dcterms:created>
  <dc:creator>Administrator</dc:creator>
  <cp:lastModifiedBy>Andy.</cp:lastModifiedBy>
  <dcterms:modified xsi:type="dcterms:W3CDTF">2025-10-14T03:09:00Z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9BC865B575DE44F98E11736776CDED06</vt:lpwstr>
  </property>
  <property fmtid="{D5CDD505-2E9C-101B-9397-08002B2CF9AE}" pid="4" name="KSOTemplateDocerSaveRecord">
    <vt:lpwstr>eyJoZGlkIjoiNzA4OGM0YTJiMmU3YmM5YmFhMDIyZWQ5N2NhYWQ2MzEiLCJ1c2VySWQiOiIyMDI1MTM1MTUifQ==</vt:lpwstr>
  </property>
</Properties>
</file>