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FBADE0">
      <w:pPr>
        <w:pStyle w:val="11"/>
        <w:spacing w:before="0" w:beforeAutospacing="0" w:after="0" w:afterAutospacing="0" w:line="560" w:lineRule="exact"/>
        <w:ind w:right="420" w:firstLine="883" w:firstLineChars="200"/>
        <w:jc w:val="center"/>
        <w:rPr>
          <w:rFonts w:hint="eastAsia" w:ascii="仿宋_GB2312" w:eastAsia="仿宋_GB2312" w:cs="仿宋_GB2312"/>
          <w:b/>
          <w:bCs/>
          <w:kern w:val="2"/>
          <w:sz w:val="44"/>
          <w:szCs w:val="44"/>
        </w:rPr>
      </w:pPr>
      <w:r>
        <w:rPr>
          <w:rFonts w:hint="eastAsia" w:ascii="仿宋_GB2312" w:eastAsia="仿宋_GB2312" w:cs="仿宋_GB2312"/>
          <w:b/>
          <w:bCs/>
          <w:kern w:val="2"/>
          <w:sz w:val="44"/>
          <w:szCs w:val="44"/>
        </w:rPr>
        <w:t>竞</w:t>
      </w:r>
      <w:r>
        <w:rPr>
          <w:rFonts w:ascii="仿宋_GB2312" w:eastAsia="仿宋_GB2312" w:cs="仿宋_GB2312"/>
          <w:b/>
          <w:bCs/>
          <w:kern w:val="2"/>
          <w:sz w:val="44"/>
          <w:szCs w:val="44"/>
        </w:rPr>
        <w:t xml:space="preserve"> </w:t>
      </w:r>
      <w:r>
        <w:rPr>
          <w:rFonts w:hint="eastAsia" w:ascii="仿宋_GB2312" w:eastAsia="仿宋_GB2312" w:cs="仿宋_GB2312"/>
          <w:b/>
          <w:bCs/>
          <w:kern w:val="2"/>
          <w:sz w:val="44"/>
          <w:szCs w:val="44"/>
        </w:rPr>
        <w:t>买</w:t>
      </w:r>
      <w:r>
        <w:rPr>
          <w:rFonts w:ascii="仿宋_GB2312" w:eastAsia="仿宋_GB2312" w:cs="仿宋_GB2312"/>
          <w:b/>
          <w:bCs/>
          <w:kern w:val="2"/>
          <w:sz w:val="44"/>
          <w:szCs w:val="44"/>
        </w:rPr>
        <w:t xml:space="preserve"> </w:t>
      </w:r>
      <w:r>
        <w:rPr>
          <w:rFonts w:hint="eastAsia" w:ascii="仿宋_GB2312" w:eastAsia="仿宋_GB2312" w:cs="仿宋_GB2312"/>
          <w:b/>
          <w:bCs/>
          <w:kern w:val="2"/>
          <w:sz w:val="44"/>
          <w:szCs w:val="44"/>
        </w:rPr>
        <w:t>须</w:t>
      </w:r>
      <w:r>
        <w:rPr>
          <w:rFonts w:ascii="仿宋_GB2312" w:eastAsia="仿宋_GB2312" w:cs="仿宋_GB2312"/>
          <w:b/>
          <w:bCs/>
          <w:kern w:val="2"/>
          <w:sz w:val="44"/>
          <w:szCs w:val="44"/>
        </w:rPr>
        <w:t xml:space="preserve"> </w:t>
      </w:r>
      <w:r>
        <w:rPr>
          <w:rFonts w:hint="eastAsia" w:ascii="仿宋_GB2312" w:eastAsia="仿宋_GB2312" w:cs="仿宋_GB2312"/>
          <w:b/>
          <w:bCs/>
          <w:kern w:val="2"/>
          <w:sz w:val="44"/>
          <w:szCs w:val="44"/>
        </w:rPr>
        <w:t>知</w:t>
      </w:r>
    </w:p>
    <w:p w14:paraId="44663208">
      <w:pPr>
        <w:pStyle w:val="11"/>
        <w:snapToGrid w:val="0"/>
        <w:spacing w:before="0" w:beforeAutospacing="0" w:after="0" w:afterAutospacing="0" w:line="300" w:lineRule="exact"/>
        <w:ind w:right="420" w:firstLine="560" w:firstLineChars="200"/>
        <w:jc w:val="center"/>
        <w:rPr>
          <w:rFonts w:ascii="仿宋_GB2312" w:eastAsia="仿宋_GB2312" w:cs="仿宋_GB2312"/>
          <w:kern w:val="2"/>
          <w:sz w:val="28"/>
          <w:szCs w:val="28"/>
        </w:rPr>
      </w:pPr>
    </w:p>
    <w:p w14:paraId="2858E0D9">
      <w:pPr>
        <w:widowControl/>
        <w:snapToGrid w:val="0"/>
        <w:spacing w:line="460" w:lineRule="exact"/>
        <w:ind w:firstLine="560" w:firstLineChars="200"/>
        <w:jc w:val="left"/>
        <w:rPr>
          <w:rFonts w:ascii="仿宋_GB2312" w:eastAsia="仿宋_GB2312" w:cs="仿宋_GB2312"/>
          <w:sz w:val="28"/>
          <w:szCs w:val="28"/>
        </w:rPr>
      </w:pPr>
      <w:r>
        <w:rPr>
          <w:rFonts w:hint="eastAsia" w:ascii="仿宋_GB2312" w:eastAsia="仿宋_GB2312" w:cs="仿宋_GB2312"/>
          <w:sz w:val="28"/>
          <w:szCs w:val="28"/>
        </w:rPr>
        <w:t>受委托，广东迅兴拍卖有限公司于202</w:t>
      </w:r>
      <w:r>
        <w:rPr>
          <w:rFonts w:hint="eastAsia" w:ascii="仿宋_GB2312" w:eastAsia="仿宋_GB2312" w:cs="仿宋_GB2312"/>
          <w:sz w:val="28"/>
          <w:szCs w:val="28"/>
          <w:lang w:val="en-US" w:eastAsia="zh-CN"/>
        </w:rPr>
        <w:t>6</w:t>
      </w:r>
      <w:r>
        <w:rPr>
          <w:rFonts w:hint="eastAsia" w:ascii="仿宋_GB2312" w:eastAsia="仿宋_GB2312" w:cs="仿宋_GB2312"/>
          <w:sz w:val="28"/>
          <w:szCs w:val="28"/>
        </w:rPr>
        <w:t>年</w:t>
      </w:r>
      <w:r>
        <w:rPr>
          <w:rFonts w:hint="eastAsia" w:ascii="仿宋_GB2312" w:eastAsia="仿宋_GB2312" w:cs="仿宋_GB2312"/>
          <w:sz w:val="28"/>
          <w:szCs w:val="28"/>
          <w:lang w:val="en-US" w:eastAsia="zh-CN"/>
        </w:rPr>
        <w:t>1</w:t>
      </w:r>
      <w:r>
        <w:rPr>
          <w:rFonts w:hint="eastAsia" w:ascii="仿宋_GB2312" w:eastAsia="仿宋_GB2312" w:cs="仿宋_GB2312"/>
          <w:sz w:val="28"/>
          <w:szCs w:val="28"/>
        </w:rPr>
        <w:t>月</w:t>
      </w:r>
      <w:r>
        <w:rPr>
          <w:rFonts w:hint="eastAsia" w:ascii="仿宋_GB2312" w:eastAsia="仿宋_GB2312" w:cs="仿宋_GB2312"/>
          <w:sz w:val="28"/>
          <w:szCs w:val="28"/>
          <w:lang w:val="en-US" w:eastAsia="zh-CN"/>
        </w:rPr>
        <w:t>16</w:t>
      </w:r>
      <w:r>
        <w:rPr>
          <w:rFonts w:hint="eastAsia" w:ascii="仿宋_GB2312" w:eastAsia="仿宋_GB2312" w:cs="仿宋_GB2312"/>
          <w:sz w:val="28"/>
          <w:szCs w:val="28"/>
        </w:rPr>
        <w:t>日10时起至1</w:t>
      </w:r>
      <w:r>
        <w:rPr>
          <w:rFonts w:hint="eastAsia" w:ascii="仿宋_GB2312" w:eastAsia="仿宋_GB2312" w:cs="仿宋_GB2312"/>
          <w:sz w:val="28"/>
          <w:szCs w:val="28"/>
          <w:lang w:val="en-US" w:eastAsia="zh-CN"/>
        </w:rPr>
        <w:t>0：30时</w:t>
      </w:r>
      <w:r>
        <w:rPr>
          <w:rFonts w:hint="eastAsia" w:ascii="仿宋_GB2312" w:eastAsia="仿宋_GB2312" w:cs="仿宋_GB2312"/>
          <w:sz w:val="28"/>
          <w:szCs w:val="28"/>
        </w:rPr>
        <w:t>止（竞价周期30分钟，延时除外）在全拍网（www.allauc.com</w:t>
      </w:r>
      <w:r>
        <w:rPr>
          <w:rFonts w:ascii="仿宋_GB2312" w:eastAsia="仿宋_GB2312" w:cs="仿宋_GB2312"/>
          <w:sz w:val="28"/>
          <w:szCs w:val="28"/>
        </w:rPr>
        <w:t>）</w:t>
      </w:r>
      <w:r>
        <w:rPr>
          <w:rFonts w:hint="eastAsia" w:ascii="仿宋_GB2312" w:eastAsia="仿宋_GB2312" w:cs="仿宋_GB2312"/>
          <w:sz w:val="28"/>
          <w:szCs w:val="28"/>
        </w:rPr>
        <w:t>公开拍卖罚没</w:t>
      </w:r>
      <w:r>
        <w:rPr>
          <w:rFonts w:hint="eastAsia" w:ascii="仿宋_GB2312" w:eastAsia="仿宋_GB2312" w:cs="仿宋_GB2312"/>
          <w:sz w:val="28"/>
          <w:szCs w:val="28"/>
          <w:lang w:val="en-US" w:eastAsia="zh-CN"/>
        </w:rPr>
        <w:t>9126辆</w:t>
      </w:r>
      <w:r>
        <w:rPr>
          <w:rFonts w:hint="eastAsia" w:ascii="仿宋_GB2312" w:eastAsia="仿宋_GB2312" w:cs="仿宋_GB2312"/>
          <w:sz w:val="28"/>
          <w:szCs w:val="28"/>
        </w:rPr>
        <w:t>待拆解的二、三轮电动车、摩托车</w:t>
      </w:r>
      <w:r>
        <w:rPr>
          <w:rFonts w:hint="eastAsia" w:ascii="仿宋_GB2312" w:eastAsia="仿宋_GB2312" w:cs="仿宋_GB2312"/>
          <w:sz w:val="28"/>
          <w:szCs w:val="28"/>
          <w:lang w:eastAsia="zh-CN"/>
        </w:rPr>
        <w:t>、</w:t>
      </w:r>
      <w:r>
        <w:rPr>
          <w:rFonts w:hint="eastAsia" w:ascii="仿宋_GB2312" w:eastAsia="仿宋_GB2312" w:cs="仿宋_GB2312"/>
          <w:sz w:val="28"/>
          <w:szCs w:val="28"/>
          <w:lang w:val="en-US" w:eastAsia="zh-CN"/>
        </w:rPr>
        <w:t>小型汽车、货车</w:t>
      </w:r>
      <w:r>
        <w:rPr>
          <w:rFonts w:hint="eastAsia" w:ascii="仿宋_GB2312" w:eastAsia="仿宋_GB2312" w:cs="仿宋_GB2312"/>
          <w:sz w:val="28"/>
          <w:szCs w:val="28"/>
        </w:rPr>
        <w:t>（整体拍卖）。现就有关事宜敬告各位竞买人：</w:t>
      </w:r>
    </w:p>
    <w:p w14:paraId="4B9DEE0E">
      <w:pPr>
        <w:pStyle w:val="11"/>
        <w:snapToGrid w:val="0"/>
        <w:spacing w:before="0" w:beforeAutospacing="0" w:after="0" w:afterAutospacing="0" w:line="460" w:lineRule="exact"/>
        <w:ind w:firstLine="560" w:firstLineChars="200"/>
        <w:jc w:val="both"/>
        <w:rPr>
          <w:rFonts w:ascii="仿宋_GB2312" w:eastAsia="仿宋_GB2312" w:cs="仿宋_GB2312"/>
          <w:kern w:val="2"/>
          <w:sz w:val="28"/>
          <w:szCs w:val="28"/>
        </w:rPr>
      </w:pPr>
      <w:r>
        <w:rPr>
          <w:rFonts w:hint="eastAsia" w:ascii="仿宋_GB2312" w:eastAsia="仿宋_GB2312" w:cs="仿宋_GB2312"/>
          <w:kern w:val="2"/>
          <w:sz w:val="28"/>
          <w:szCs w:val="28"/>
        </w:rPr>
        <w:t>一、竞价方式：本次竞价设置延时出价功能，在竞价结束前，当标的物的竞拍时间只剩最后</w:t>
      </w:r>
      <w:r>
        <w:rPr>
          <w:rFonts w:ascii="仿宋_GB2312" w:eastAsia="仿宋_GB2312" w:cs="仿宋_GB2312"/>
          <w:kern w:val="2"/>
          <w:sz w:val="28"/>
          <w:szCs w:val="28"/>
        </w:rPr>
        <w:t>5</w:t>
      </w:r>
      <w:r>
        <w:rPr>
          <w:rFonts w:hint="eastAsia" w:ascii="仿宋_GB2312" w:eastAsia="仿宋_GB2312" w:cs="仿宋_GB2312"/>
          <w:kern w:val="2"/>
          <w:sz w:val="28"/>
          <w:szCs w:val="28"/>
        </w:rPr>
        <w:t>分钟时，</w:t>
      </w:r>
      <w:r>
        <w:rPr>
          <w:rFonts w:ascii="仿宋_GB2312" w:eastAsia="仿宋_GB2312" w:cs="仿宋_GB2312"/>
          <w:kern w:val="2"/>
          <w:sz w:val="28"/>
          <w:szCs w:val="28"/>
        </w:rPr>
        <w:t>5</w:t>
      </w:r>
      <w:r>
        <w:rPr>
          <w:rFonts w:hint="eastAsia" w:ascii="仿宋_GB2312" w:eastAsia="仿宋_GB2312" w:cs="仿宋_GB2312"/>
          <w:kern w:val="2"/>
          <w:sz w:val="28"/>
          <w:szCs w:val="28"/>
        </w:rPr>
        <w:t>分钟内如果有人出价即循环延时</w:t>
      </w:r>
      <w:r>
        <w:rPr>
          <w:rFonts w:ascii="仿宋_GB2312" w:eastAsia="仿宋_GB2312" w:cs="仿宋_GB2312"/>
          <w:kern w:val="2"/>
          <w:sz w:val="28"/>
          <w:szCs w:val="28"/>
        </w:rPr>
        <w:t>5</w:t>
      </w:r>
      <w:r>
        <w:rPr>
          <w:rFonts w:hint="eastAsia" w:ascii="仿宋_GB2312" w:eastAsia="仿宋_GB2312" w:cs="仿宋_GB2312"/>
          <w:kern w:val="2"/>
          <w:sz w:val="28"/>
          <w:szCs w:val="28"/>
        </w:rPr>
        <w:t>分钟，直至无人出价。</w:t>
      </w:r>
    </w:p>
    <w:p w14:paraId="2A295421">
      <w:pPr>
        <w:pStyle w:val="11"/>
        <w:shd w:val="clear" w:color="auto" w:fill="FFFFFF"/>
        <w:snapToGrid w:val="0"/>
        <w:spacing w:before="0" w:beforeAutospacing="0" w:after="0" w:afterAutospacing="0" w:line="460" w:lineRule="exact"/>
        <w:ind w:firstLine="560" w:firstLineChars="200"/>
        <w:jc w:val="both"/>
        <w:rPr>
          <w:rFonts w:ascii="仿宋_GB2312" w:eastAsia="仿宋_GB2312" w:cs="仿宋_GB2312"/>
          <w:kern w:val="2"/>
          <w:sz w:val="28"/>
          <w:szCs w:val="28"/>
        </w:rPr>
      </w:pPr>
      <w:r>
        <w:rPr>
          <w:rFonts w:hint="eastAsia" w:ascii="仿宋_GB2312" w:eastAsia="仿宋_GB2312" w:cs="仿宋_GB2312"/>
          <w:kern w:val="2"/>
          <w:sz w:val="28"/>
          <w:szCs w:val="28"/>
        </w:rPr>
        <w:t>二、竞买人应具备条件：</w:t>
      </w:r>
    </w:p>
    <w:p w14:paraId="073A5FC6">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凡经省级商务部门公示的具有报废机动车回收拆解资质认定，且符合国家及省市车辆拆解行业监管有关规定和环保要求的企业法人均可参与竞买。</w:t>
      </w:r>
    </w:p>
    <w:p w14:paraId="60785D51">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办理成交确认的主体应当与竞买人在全拍网注册并实名认证的竞买主体为同一人。</w:t>
      </w:r>
    </w:p>
    <w:p w14:paraId="73B35879">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四、竞买人参拍手续办理</w:t>
      </w:r>
    </w:p>
    <w:p w14:paraId="1A4E2C7D">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1、竞买人在参与竞价前，竞买人须在全拍网平台（https://www.allauc.com）注册账号并通过实名认证，</w:t>
      </w:r>
      <w:r>
        <w:rPr>
          <w:rFonts w:hint="eastAsia" w:ascii="仿宋_GB2312" w:eastAsia="仿宋_GB2312" w:cs="仿宋_GB2312"/>
          <w:color w:val="auto"/>
          <w:kern w:val="2"/>
          <w:sz w:val="28"/>
          <w:szCs w:val="28"/>
        </w:rPr>
        <w:t>通过现场提</w:t>
      </w:r>
      <w:r>
        <w:rPr>
          <w:rFonts w:hint="eastAsia" w:ascii="仿宋_GB2312" w:eastAsia="仿宋_GB2312" w:cs="仿宋_GB2312"/>
          <w:kern w:val="2"/>
          <w:sz w:val="28"/>
          <w:szCs w:val="28"/>
        </w:rPr>
        <w:t>交纸质资料进行资质审核（看货时可提交）。报名截止时间为202</w:t>
      </w:r>
      <w:r>
        <w:rPr>
          <w:rFonts w:hint="eastAsia" w:ascii="仿宋_GB2312" w:eastAsia="仿宋_GB2312" w:cs="仿宋_GB2312"/>
          <w:kern w:val="2"/>
          <w:sz w:val="28"/>
          <w:szCs w:val="28"/>
          <w:lang w:val="en-US" w:eastAsia="zh-CN"/>
        </w:rPr>
        <w:t>6</w:t>
      </w:r>
      <w:r>
        <w:rPr>
          <w:rFonts w:hint="eastAsia" w:ascii="仿宋_GB2312" w:eastAsia="仿宋_GB2312" w:cs="仿宋_GB2312"/>
          <w:kern w:val="2"/>
          <w:sz w:val="28"/>
          <w:szCs w:val="28"/>
        </w:rPr>
        <w:t>年</w:t>
      </w:r>
      <w:r>
        <w:rPr>
          <w:rFonts w:hint="eastAsia" w:ascii="仿宋_GB2312" w:eastAsia="仿宋_GB2312" w:cs="仿宋_GB2312"/>
          <w:kern w:val="2"/>
          <w:sz w:val="28"/>
          <w:szCs w:val="28"/>
          <w:lang w:val="en-US" w:eastAsia="zh-CN"/>
        </w:rPr>
        <w:t>1</w:t>
      </w:r>
      <w:r>
        <w:rPr>
          <w:rFonts w:hint="eastAsia" w:ascii="仿宋_GB2312" w:eastAsia="仿宋_GB2312" w:cs="仿宋_GB2312"/>
          <w:kern w:val="2"/>
          <w:sz w:val="28"/>
          <w:szCs w:val="28"/>
        </w:rPr>
        <w:t>月</w:t>
      </w:r>
      <w:r>
        <w:rPr>
          <w:rFonts w:hint="eastAsia" w:ascii="仿宋_GB2312" w:eastAsia="仿宋_GB2312" w:cs="仿宋_GB2312"/>
          <w:kern w:val="2"/>
          <w:sz w:val="28"/>
          <w:szCs w:val="28"/>
          <w:lang w:val="en-US" w:eastAsia="zh-CN"/>
        </w:rPr>
        <w:t>14</w:t>
      </w:r>
      <w:r>
        <w:rPr>
          <w:rFonts w:hint="eastAsia" w:ascii="仿宋_GB2312" w:eastAsia="仿宋_GB2312" w:cs="仿宋_GB2312"/>
          <w:kern w:val="2"/>
          <w:sz w:val="28"/>
          <w:szCs w:val="28"/>
        </w:rPr>
        <w:t>日17时，竞买人在资质审核通过后</w:t>
      </w:r>
      <w:r>
        <w:rPr>
          <w:rFonts w:hint="eastAsia" w:ascii="仿宋_GB2312" w:eastAsia="仿宋_GB2312" w:cs="仿宋_GB2312"/>
          <w:kern w:val="2"/>
          <w:sz w:val="28"/>
          <w:szCs w:val="28"/>
          <w:lang w:val="en-US" w:eastAsia="zh-CN"/>
        </w:rPr>
        <w:t>缴纳竞买保证金</w:t>
      </w:r>
      <w:r>
        <w:rPr>
          <w:rFonts w:hint="eastAsia" w:ascii="仿宋_GB2312" w:eastAsia="仿宋_GB2312" w:cs="仿宋_GB2312"/>
          <w:kern w:val="2"/>
          <w:sz w:val="28"/>
          <w:szCs w:val="28"/>
        </w:rPr>
        <w:t>方可参与竞拍。</w:t>
      </w:r>
    </w:p>
    <w:p w14:paraId="3D2EB723">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2、竞买人需要提交的参拍资质材料有（</w:t>
      </w:r>
      <w:r>
        <w:rPr>
          <w:rFonts w:hint="eastAsia" w:ascii="仿宋_GB2312" w:eastAsia="仿宋_GB2312" w:cs="仿宋_GB2312"/>
          <w:kern w:val="2"/>
          <w:sz w:val="28"/>
          <w:szCs w:val="28"/>
          <w:lang w:val="en-US" w:eastAsia="zh-CN"/>
        </w:rPr>
        <w:t>以下资料一式两份，</w:t>
      </w:r>
      <w:r>
        <w:rPr>
          <w:rFonts w:hint="eastAsia" w:ascii="仿宋_GB2312" w:eastAsia="仿宋_GB2312" w:cs="仿宋_GB2312"/>
          <w:kern w:val="2"/>
          <w:sz w:val="28"/>
          <w:szCs w:val="28"/>
        </w:rPr>
        <w:t>均要加盖企业公章）；</w:t>
      </w:r>
    </w:p>
    <w:p w14:paraId="75574B88">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1）参拍企业在省级以上商务部门公示的名单信息；</w:t>
      </w:r>
    </w:p>
    <w:p w14:paraId="452B622A">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2）有效的企业营业执照复印件；</w:t>
      </w:r>
    </w:p>
    <w:p w14:paraId="3EE5A012">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3）报废机动车回收拆解企业资质认定证书复印件；</w:t>
      </w:r>
    </w:p>
    <w:p w14:paraId="7EEE2AE2">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4）法定代表人证明书+法定代表人身份证复印件；</w:t>
      </w:r>
    </w:p>
    <w:p w14:paraId="2AEF4383">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5）法人授权委托书+经办人身份证复印件；</w:t>
      </w:r>
    </w:p>
    <w:p w14:paraId="777D8BD1">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6）企业公共信用信息查询报告（完整版）。近三年没有不良经营记录或被列入失信、被执行人名单的、被列入委托人供应商黑名单。</w:t>
      </w:r>
    </w:p>
    <w:p w14:paraId="5D03E7CD">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五、竞买保证金、拍卖成交价款、拍卖</w:t>
      </w:r>
      <w:r>
        <w:rPr>
          <w:rFonts w:ascii="仿宋_GB2312" w:eastAsia="仿宋_GB2312" w:cs="仿宋_GB2312"/>
          <w:kern w:val="2"/>
          <w:sz w:val="28"/>
          <w:szCs w:val="28"/>
        </w:rPr>
        <w:t>服务费</w:t>
      </w:r>
      <w:r>
        <w:rPr>
          <w:rFonts w:hint="eastAsia" w:ascii="仿宋_GB2312" w:eastAsia="仿宋_GB2312" w:cs="仿宋_GB2312"/>
          <w:kern w:val="2"/>
          <w:sz w:val="28"/>
          <w:szCs w:val="28"/>
        </w:rPr>
        <w:t>及平台技术服务费的缴纳方式及付款期限</w:t>
      </w:r>
    </w:p>
    <w:p w14:paraId="3BC133B1">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1、竞买保证金：</w:t>
      </w:r>
      <w:r>
        <w:rPr>
          <w:rFonts w:hint="eastAsia" w:ascii="仿宋_GB2312" w:eastAsia="仿宋_GB2312" w:cs="仿宋_GB2312"/>
          <w:kern w:val="2"/>
          <w:sz w:val="28"/>
          <w:szCs w:val="28"/>
          <w:lang w:val="en-US" w:eastAsia="zh-CN"/>
        </w:rPr>
        <w:t>20</w:t>
      </w:r>
      <w:r>
        <w:rPr>
          <w:rFonts w:hint="eastAsia" w:ascii="仿宋_GB2312" w:eastAsia="仿宋_GB2312" w:cs="仿宋_GB2312"/>
          <w:kern w:val="2"/>
          <w:sz w:val="28"/>
          <w:szCs w:val="28"/>
        </w:rPr>
        <w:t>万元</w:t>
      </w:r>
    </w:p>
    <w:p w14:paraId="007E825F">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竞买保证金（详见拍卖页面）由竞买人企业账户转账支付，付款截止时间202</w:t>
      </w:r>
      <w:r>
        <w:rPr>
          <w:rFonts w:hint="eastAsia" w:ascii="仿宋_GB2312" w:eastAsia="仿宋_GB2312" w:cs="仿宋_GB2312"/>
          <w:kern w:val="2"/>
          <w:sz w:val="28"/>
          <w:szCs w:val="28"/>
          <w:lang w:val="en-US" w:eastAsia="zh-CN"/>
        </w:rPr>
        <w:t>6</w:t>
      </w:r>
      <w:r>
        <w:rPr>
          <w:rFonts w:hint="eastAsia" w:ascii="仿宋_GB2312" w:eastAsia="仿宋_GB2312" w:cs="仿宋_GB2312"/>
          <w:kern w:val="2"/>
          <w:sz w:val="28"/>
          <w:szCs w:val="28"/>
        </w:rPr>
        <w:t>年</w:t>
      </w:r>
      <w:r>
        <w:rPr>
          <w:rFonts w:hint="eastAsia" w:ascii="仿宋_GB2312" w:eastAsia="仿宋_GB2312" w:cs="仿宋_GB2312"/>
          <w:kern w:val="2"/>
          <w:sz w:val="28"/>
          <w:szCs w:val="28"/>
          <w:lang w:val="en-US" w:eastAsia="zh-CN"/>
        </w:rPr>
        <w:t>1</w:t>
      </w:r>
      <w:r>
        <w:rPr>
          <w:rFonts w:hint="eastAsia" w:ascii="仿宋_GB2312" w:eastAsia="仿宋_GB2312" w:cs="仿宋_GB2312"/>
          <w:kern w:val="2"/>
          <w:sz w:val="28"/>
          <w:szCs w:val="28"/>
        </w:rPr>
        <w:t>月</w:t>
      </w:r>
      <w:r>
        <w:rPr>
          <w:rFonts w:hint="eastAsia" w:ascii="仿宋_GB2312" w:eastAsia="仿宋_GB2312" w:cs="仿宋_GB2312"/>
          <w:kern w:val="2"/>
          <w:sz w:val="28"/>
          <w:szCs w:val="28"/>
          <w:lang w:val="en-US" w:eastAsia="zh-CN"/>
        </w:rPr>
        <w:t>15</w:t>
      </w:r>
      <w:r>
        <w:rPr>
          <w:rFonts w:hint="eastAsia" w:ascii="仿宋_GB2312" w:eastAsia="仿宋_GB2312" w:cs="仿宋_GB2312"/>
          <w:kern w:val="2"/>
          <w:sz w:val="28"/>
          <w:szCs w:val="28"/>
        </w:rPr>
        <w:t>日17时前（以到账为准）。</w:t>
      </w:r>
    </w:p>
    <w:p w14:paraId="4FD5BD13">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2、拍卖成交价款及拍卖</w:t>
      </w:r>
      <w:r>
        <w:rPr>
          <w:rFonts w:ascii="仿宋_GB2312" w:eastAsia="仿宋_GB2312" w:cs="仿宋_GB2312"/>
          <w:kern w:val="2"/>
          <w:sz w:val="28"/>
          <w:szCs w:val="28"/>
        </w:rPr>
        <w:t>服务费</w:t>
      </w:r>
      <w:r>
        <w:rPr>
          <w:rFonts w:hint="eastAsia" w:ascii="仿宋_GB2312" w:eastAsia="仿宋_GB2312" w:cs="仿宋_GB2312"/>
          <w:kern w:val="2"/>
          <w:sz w:val="28"/>
          <w:szCs w:val="28"/>
        </w:rPr>
        <w:t>：</w:t>
      </w:r>
    </w:p>
    <w:p w14:paraId="7649ABBC">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买受人应在拍卖成交之日起</w:t>
      </w:r>
      <w:r>
        <w:rPr>
          <w:rFonts w:hint="eastAsia" w:ascii="仿宋_GB2312" w:eastAsia="仿宋_GB2312" w:cs="仿宋_GB2312"/>
          <w:kern w:val="2"/>
          <w:sz w:val="28"/>
          <w:szCs w:val="28"/>
          <w:lang w:val="en-US" w:eastAsia="zh-CN"/>
        </w:rPr>
        <w:t>3</w:t>
      </w:r>
      <w:r>
        <w:rPr>
          <w:rFonts w:hint="eastAsia" w:ascii="仿宋_GB2312" w:eastAsia="仿宋_GB2312" w:cs="仿宋_GB2312"/>
          <w:kern w:val="2"/>
          <w:sz w:val="28"/>
          <w:szCs w:val="28"/>
        </w:rPr>
        <w:t>日内付清拍卖成交价款及拍卖</w:t>
      </w:r>
      <w:r>
        <w:rPr>
          <w:rFonts w:ascii="仿宋_GB2312" w:eastAsia="仿宋_GB2312" w:cs="仿宋_GB2312"/>
          <w:kern w:val="2"/>
          <w:sz w:val="28"/>
          <w:szCs w:val="28"/>
        </w:rPr>
        <w:t>服务费</w:t>
      </w:r>
      <w:r>
        <w:rPr>
          <w:rFonts w:hint="eastAsia" w:ascii="仿宋_GB2312" w:eastAsia="仿宋_GB2312" w:cs="仿宋_GB2312"/>
          <w:kern w:val="2"/>
          <w:sz w:val="28"/>
          <w:szCs w:val="28"/>
        </w:rPr>
        <w:t>（拍卖成交价*</w:t>
      </w:r>
      <w:r>
        <w:rPr>
          <w:rFonts w:hint="eastAsia" w:ascii="仿宋_GB2312" w:eastAsia="仿宋_GB2312" w:cs="仿宋_GB2312"/>
          <w:kern w:val="2"/>
          <w:sz w:val="28"/>
          <w:szCs w:val="28"/>
          <w:lang w:val="en-US" w:eastAsia="zh-CN"/>
        </w:rPr>
        <w:t>5</w:t>
      </w:r>
      <w:r>
        <w:rPr>
          <w:rFonts w:hint="eastAsia" w:ascii="仿宋_GB2312" w:eastAsia="仿宋_GB2312" w:cs="仿宋_GB2312"/>
          <w:kern w:val="2"/>
          <w:sz w:val="28"/>
          <w:szCs w:val="28"/>
        </w:rPr>
        <w:t>%）。</w:t>
      </w:r>
    </w:p>
    <w:p w14:paraId="374267BE">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3、竞买保证金、拍卖成交价款及拍卖</w:t>
      </w:r>
      <w:r>
        <w:rPr>
          <w:rFonts w:ascii="仿宋_GB2312" w:eastAsia="仿宋_GB2312" w:cs="仿宋_GB2312"/>
          <w:kern w:val="2"/>
          <w:sz w:val="28"/>
          <w:szCs w:val="28"/>
        </w:rPr>
        <w:t>服务费</w:t>
      </w:r>
      <w:r>
        <w:rPr>
          <w:rFonts w:hint="eastAsia" w:ascii="仿宋_GB2312" w:eastAsia="仿宋_GB2312" w:cs="仿宋_GB2312"/>
          <w:kern w:val="2"/>
          <w:sz w:val="28"/>
          <w:szCs w:val="28"/>
        </w:rPr>
        <w:t>缴纳方式：【线下支付】以转账方式汇至我司指定账户（户名：广东迅兴拍卖有限公司，账号：41009100040008541，开户行：中国农业银行深圳锦湖支行）。</w:t>
      </w:r>
    </w:p>
    <w:p w14:paraId="27993350">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4、平台技术服务费</w:t>
      </w:r>
    </w:p>
    <w:p w14:paraId="6C54404A">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买受人应在拍卖成交之日起</w:t>
      </w:r>
      <w:r>
        <w:rPr>
          <w:rFonts w:hint="eastAsia" w:ascii="仿宋_GB2312" w:eastAsia="仿宋_GB2312" w:cs="仿宋_GB2312"/>
          <w:kern w:val="2"/>
          <w:sz w:val="28"/>
          <w:szCs w:val="28"/>
          <w:lang w:val="en-US" w:eastAsia="zh-CN"/>
        </w:rPr>
        <w:t>3</w:t>
      </w:r>
      <w:r>
        <w:rPr>
          <w:rFonts w:hint="eastAsia" w:ascii="仿宋_GB2312" w:eastAsia="仿宋_GB2312" w:cs="仿宋_GB2312"/>
          <w:kern w:val="2"/>
          <w:sz w:val="28"/>
          <w:szCs w:val="28"/>
        </w:rPr>
        <w:t>日内将平台技术服务费付至全拍网指定账上。</w:t>
      </w:r>
    </w:p>
    <w:p w14:paraId="18CCD772">
      <w:pPr>
        <w:pStyle w:val="11"/>
        <w:snapToGrid w:val="0"/>
        <w:spacing w:before="0" w:beforeAutospacing="0" w:after="0" w:afterAutospacing="0" w:line="460" w:lineRule="exact"/>
        <w:ind w:firstLine="560" w:firstLineChars="200"/>
        <w:rPr>
          <w:rFonts w:ascii="仿宋_GB2312" w:eastAsia="仿宋_GB2312" w:cs="仿宋_GB2312"/>
          <w:kern w:val="2"/>
          <w:sz w:val="28"/>
          <w:szCs w:val="28"/>
        </w:rPr>
      </w:pPr>
      <w:r>
        <w:rPr>
          <w:rFonts w:hint="eastAsia" w:ascii="仿宋_GB2312" w:eastAsia="仿宋_GB2312" w:cs="仿宋_GB2312"/>
          <w:kern w:val="2"/>
          <w:sz w:val="28"/>
          <w:szCs w:val="28"/>
          <w:lang w:val="en-US" w:eastAsia="zh-CN"/>
        </w:rPr>
        <w:t>六</w:t>
      </w:r>
      <w:r>
        <w:rPr>
          <w:rFonts w:hint="eastAsia" w:ascii="仿宋_GB2312" w:eastAsia="仿宋_GB2312" w:cs="仿宋_GB2312"/>
          <w:kern w:val="2"/>
          <w:sz w:val="28"/>
          <w:szCs w:val="28"/>
        </w:rPr>
        <w:t>、买受人须在竞拍结束后规定时间</w:t>
      </w:r>
      <w:r>
        <w:rPr>
          <w:rFonts w:hint="eastAsia" w:ascii="仿宋_GB2312" w:eastAsia="仿宋_GB2312" w:cs="仿宋_GB2312"/>
          <w:kern w:val="2"/>
          <w:sz w:val="28"/>
          <w:szCs w:val="28"/>
          <w:lang w:val="en-US" w:eastAsia="zh-CN"/>
        </w:rPr>
        <w:t>3日</w:t>
      </w:r>
      <w:r>
        <w:rPr>
          <w:rFonts w:hint="eastAsia" w:ascii="仿宋_GB2312" w:eastAsia="仿宋_GB2312" w:cs="仿宋_GB2312"/>
          <w:kern w:val="2"/>
          <w:sz w:val="28"/>
          <w:szCs w:val="28"/>
        </w:rPr>
        <w:t>内付清相关款项和费用。买受人逾期或不交纳拍卖成交价款、拍卖</w:t>
      </w:r>
      <w:r>
        <w:rPr>
          <w:rFonts w:hint="eastAsia" w:ascii="仿宋_GB2312" w:eastAsia="仿宋_GB2312" w:cs="仿宋_GB2312"/>
          <w:kern w:val="2"/>
          <w:sz w:val="28"/>
          <w:szCs w:val="28"/>
          <w:lang w:val="en-US" w:eastAsia="zh-CN"/>
        </w:rPr>
        <w:t>服务费</w:t>
      </w:r>
      <w:r>
        <w:rPr>
          <w:rFonts w:hint="eastAsia" w:ascii="仿宋_GB2312" w:eastAsia="仿宋_GB2312" w:cs="仿宋_GB2312"/>
          <w:kern w:val="2"/>
          <w:sz w:val="28"/>
          <w:szCs w:val="28"/>
        </w:rPr>
        <w:t>及平台技术服务费，视为买受人放弃该标的物，属于买受人违约，买受人须承担违约责任，且竞买保证金不予退还，同时委托人有权对该标的物另行处置。</w:t>
      </w:r>
    </w:p>
    <w:p w14:paraId="1670BAB1">
      <w:pPr>
        <w:pStyle w:val="11"/>
        <w:snapToGrid w:val="0"/>
        <w:spacing w:before="0" w:beforeAutospacing="0" w:after="0" w:afterAutospacing="0" w:line="460" w:lineRule="exact"/>
        <w:ind w:firstLine="560" w:firstLineChars="200"/>
        <w:rPr>
          <w:rFonts w:ascii="仿宋_GB2312" w:eastAsia="仿宋_GB2312" w:cs="仿宋_GB2312"/>
          <w:kern w:val="2"/>
          <w:sz w:val="28"/>
          <w:szCs w:val="28"/>
        </w:rPr>
      </w:pPr>
      <w:r>
        <w:rPr>
          <w:rFonts w:hint="eastAsia" w:ascii="仿宋_GB2312" w:eastAsia="仿宋_GB2312" w:cs="仿宋_GB2312"/>
          <w:kern w:val="2"/>
          <w:sz w:val="28"/>
          <w:szCs w:val="28"/>
          <w:lang w:val="en-US" w:eastAsia="zh-CN"/>
        </w:rPr>
        <w:t>七</w:t>
      </w:r>
      <w:r>
        <w:rPr>
          <w:rFonts w:hint="eastAsia" w:ascii="仿宋_GB2312" w:eastAsia="仿宋_GB2312" w:cs="仿宋_GB2312"/>
          <w:kern w:val="2"/>
          <w:sz w:val="28"/>
          <w:szCs w:val="28"/>
        </w:rPr>
        <w:t>、买受人付清相关款项和费用后，须在规定时间提货，逾期不提货所造成的损失由买受人自行承担，且买受人须承担相应违约责任，委托人有权对该标的物另行处置。</w:t>
      </w:r>
    </w:p>
    <w:p w14:paraId="4B78C469">
      <w:pPr>
        <w:pStyle w:val="11"/>
        <w:snapToGrid w:val="0"/>
        <w:spacing w:before="0" w:beforeAutospacing="0" w:after="0" w:afterAutospacing="0" w:line="460" w:lineRule="exact"/>
        <w:ind w:firstLine="560" w:firstLineChars="200"/>
        <w:jc w:val="both"/>
        <w:rPr>
          <w:rFonts w:ascii="仿宋_GB2312" w:eastAsia="仿宋_GB2312" w:cs="仿宋_GB2312"/>
          <w:kern w:val="2"/>
          <w:sz w:val="28"/>
          <w:szCs w:val="28"/>
        </w:rPr>
      </w:pPr>
      <w:r>
        <w:rPr>
          <w:rFonts w:hint="eastAsia" w:ascii="仿宋_GB2312" w:eastAsia="仿宋_GB2312" w:cs="仿宋_GB2312"/>
          <w:kern w:val="2"/>
          <w:sz w:val="28"/>
          <w:szCs w:val="28"/>
          <w:lang w:val="en-US" w:eastAsia="zh-CN"/>
        </w:rPr>
        <w:t>八</w:t>
      </w:r>
      <w:r>
        <w:rPr>
          <w:rFonts w:hint="eastAsia" w:ascii="仿宋_GB2312" w:eastAsia="仿宋_GB2312" w:cs="仿宋_GB2312"/>
          <w:kern w:val="2"/>
          <w:sz w:val="28"/>
          <w:szCs w:val="28"/>
        </w:rPr>
        <w:t>、竞买人须妥善保管本人的账户及密码，任何以注册账户登录和参与竞买的操作，均视为本人的行为。</w:t>
      </w:r>
    </w:p>
    <w:p w14:paraId="16CCCC70">
      <w:pPr>
        <w:snapToGrid w:val="0"/>
        <w:spacing w:line="460" w:lineRule="exact"/>
        <w:ind w:firstLine="560" w:firstLineChars="200"/>
        <w:rPr>
          <w:rFonts w:ascii="仿宋_GB2312" w:eastAsia="仿宋_GB2312" w:cs="仿宋_GB2312"/>
          <w:sz w:val="28"/>
          <w:szCs w:val="28"/>
        </w:rPr>
      </w:pPr>
      <w:r>
        <w:rPr>
          <w:rFonts w:hint="eastAsia" w:ascii="仿宋_GB2312" w:eastAsia="仿宋_GB2312" w:cs="仿宋_GB2312"/>
          <w:sz w:val="28"/>
          <w:szCs w:val="28"/>
          <w:lang w:val="en-US" w:eastAsia="zh-CN"/>
        </w:rPr>
        <w:t>九</w:t>
      </w:r>
      <w:r>
        <w:rPr>
          <w:rFonts w:hint="eastAsia" w:ascii="仿宋_GB2312" w:eastAsia="仿宋_GB2312" w:cs="仿宋_GB2312"/>
          <w:sz w:val="28"/>
          <w:szCs w:val="28"/>
        </w:rPr>
        <w:t>、拍卖标的物在印刷、照片、视频、网页显示中的色彩、形态、比例、质感等与现场实物有差异的，应以现场实物为准。</w:t>
      </w:r>
    </w:p>
    <w:p w14:paraId="631AB8A1">
      <w:pPr>
        <w:snapToGrid w:val="0"/>
        <w:spacing w:line="460" w:lineRule="exact"/>
        <w:ind w:firstLine="562" w:firstLineChars="200"/>
        <w:rPr>
          <w:rFonts w:hint="eastAsia" w:ascii="仿宋_GB2312" w:eastAsia="仿宋_GB2312" w:cs="仿宋_GB2312"/>
          <w:b/>
          <w:bCs/>
          <w:sz w:val="28"/>
          <w:szCs w:val="28"/>
        </w:rPr>
      </w:pPr>
      <w:r>
        <w:rPr>
          <w:rFonts w:hint="eastAsia" w:ascii="仿宋_GB2312" w:eastAsia="仿宋_GB2312" w:cs="仿宋_GB2312"/>
          <w:b/>
          <w:bCs/>
          <w:sz w:val="28"/>
          <w:szCs w:val="28"/>
        </w:rPr>
        <w:t>十、特别说明</w:t>
      </w:r>
    </w:p>
    <w:p w14:paraId="10EAEA52">
      <w:pPr>
        <w:pStyle w:val="11"/>
        <w:widowControl w:val="0"/>
        <w:shd w:val="clear" w:color="auto" w:fill="FFFFFF"/>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lang w:val="en-US" w:eastAsia="zh-CN" w:bidi="ar-SA"/>
        </w:rPr>
      </w:pPr>
      <w:r>
        <w:rPr>
          <w:rFonts w:hint="eastAsia" w:ascii="仿宋_GB2312" w:eastAsia="仿宋_GB2312" w:cs="仿宋_GB2312"/>
          <w:kern w:val="2"/>
          <w:sz w:val="28"/>
          <w:szCs w:val="28"/>
          <w:lang w:val="en-US" w:eastAsia="zh-CN" w:bidi="ar-SA"/>
        </w:rPr>
        <w:t>（一）免责声明</w:t>
      </w:r>
    </w:p>
    <w:p w14:paraId="7F46141C">
      <w:pPr>
        <w:pStyle w:val="11"/>
        <w:widowControl w:val="0"/>
        <w:shd w:val="clear" w:color="auto" w:fill="FFFFFF"/>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lang w:val="en-US" w:eastAsia="zh-CN" w:bidi="ar-SA"/>
        </w:rPr>
      </w:pPr>
      <w:r>
        <w:rPr>
          <w:rFonts w:hint="eastAsia" w:ascii="仿宋_GB2312" w:eastAsia="仿宋_GB2312" w:cs="仿宋_GB2312"/>
          <w:kern w:val="2"/>
          <w:sz w:val="28"/>
          <w:szCs w:val="28"/>
          <w:lang w:val="en-US" w:eastAsia="zh-CN" w:bidi="ar-SA"/>
        </w:rPr>
        <w:t>1、拍卖标的按现状进行拍卖，委托人和拍卖人不承担瑕疵担保责任，请竞买人慎重决定竞买行为。拍卖人所提供的拍卖资料及上关信息仅供参考，竞买人在竞拍前需要自行评估和调查，竞买人一旦参与竞价，即表明已完全了解，并接受标的现状以及一切已知或未知的瑕疵，视为竞买人了解并接受本次拍卖会的竞买规则及拍卖标的现状和有关标的的特别说明，认可并遵循本竞买须知的规定，不再提出异议，竞买人依此对自己在拍卖过程中的竞买行为承担全部法律责任。拍卖一经成交，与本次拍卖标的有关的所有后续事宜及风险，均由买受人自行承担，与委托人及拍卖人无关。</w:t>
      </w:r>
    </w:p>
    <w:p w14:paraId="6DBD5F27">
      <w:pPr>
        <w:pStyle w:val="11"/>
        <w:widowControl w:val="0"/>
        <w:shd w:val="clear" w:color="auto" w:fill="FFFFFF"/>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lang w:val="en-US" w:eastAsia="zh-CN" w:bidi="ar-SA"/>
        </w:rPr>
      </w:pPr>
      <w:r>
        <w:rPr>
          <w:rFonts w:hint="eastAsia" w:ascii="仿宋_GB2312" w:eastAsia="仿宋_GB2312" w:cs="仿宋_GB2312"/>
          <w:kern w:val="2"/>
          <w:sz w:val="28"/>
          <w:szCs w:val="28"/>
          <w:lang w:val="en-US" w:eastAsia="zh-CN" w:bidi="ar-SA"/>
        </w:rPr>
        <w:t>2、本次拍卖通过全拍网平台进行线上拍卖，由全拍网(深圳)科技有限公司提供线上拍卖技术支持。</w:t>
      </w:r>
    </w:p>
    <w:p w14:paraId="4A9D82E9">
      <w:pPr>
        <w:pStyle w:val="11"/>
        <w:widowControl w:val="0"/>
        <w:shd w:val="clear" w:color="auto" w:fill="FFFFFF"/>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lang w:val="en-US" w:eastAsia="zh-CN" w:bidi="ar-SA"/>
        </w:rPr>
      </w:pPr>
      <w:r>
        <w:rPr>
          <w:rFonts w:hint="eastAsia" w:ascii="仿宋_GB2312" w:eastAsia="仿宋_GB2312" w:cs="仿宋_GB2312"/>
          <w:kern w:val="2"/>
          <w:sz w:val="28"/>
          <w:szCs w:val="28"/>
          <w:lang w:val="en-US" w:eastAsia="zh-CN" w:bidi="ar-SA"/>
        </w:rPr>
        <w:t>竞买人应当知悉并充分理解：线上拍卖活动依赖于互联网、电子设备、软件平台及相关技术服务，各个环节不可避免地会受到不确定因素的影响，上述不确定因素包括但不限于网络通信故障、系统平台故障、设备或操作故障、电力或电信中断以及其他不可抗力事件（如自然灾害、政府禁令、现行法律或法规的变更等）。</w:t>
      </w:r>
    </w:p>
    <w:p w14:paraId="7BCB4A01">
      <w:pPr>
        <w:pStyle w:val="11"/>
        <w:widowControl w:val="0"/>
        <w:shd w:val="clear" w:color="auto" w:fill="FFFFFF"/>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lang w:val="en-US" w:eastAsia="zh-CN" w:bidi="ar-SA"/>
        </w:rPr>
      </w:pPr>
      <w:r>
        <w:rPr>
          <w:rFonts w:hint="eastAsia" w:ascii="仿宋_GB2312" w:eastAsia="仿宋_GB2312" w:cs="仿宋_GB2312"/>
          <w:kern w:val="2"/>
          <w:sz w:val="28"/>
          <w:szCs w:val="28"/>
          <w:lang w:val="en-US" w:eastAsia="zh-CN" w:bidi="ar-SA"/>
        </w:rPr>
        <w:t>竞买人确认并同意：因上述任何因素（无论是否构成法律上的不可抗力）导致竞买人无法正常登录平台、浏览信息、参与竞价、支付款项或完成其他流程，拍卖人、委托人无须承担任何责任。如发生或可能发生严重影响拍卖正常进行或公平、公正的技术故障、不可抗力或其他意外事件，拍卖人、委托人有权采取中止拍卖、撤消拍卖结果等措施，竞买人自行承担由此产生的任何损失。</w:t>
      </w:r>
    </w:p>
    <w:p w14:paraId="23CC0693">
      <w:pPr>
        <w:pStyle w:val="11"/>
        <w:widowControl w:val="0"/>
        <w:shd w:val="clear" w:color="auto" w:fill="FFFFFF"/>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lang w:val="en-US" w:eastAsia="zh-CN" w:bidi="ar-SA"/>
        </w:rPr>
      </w:pPr>
      <w:r>
        <w:rPr>
          <w:rFonts w:hint="eastAsia" w:ascii="仿宋_GB2312" w:eastAsia="仿宋_GB2312" w:cs="仿宋_GB2312"/>
          <w:kern w:val="2"/>
          <w:sz w:val="28"/>
          <w:szCs w:val="28"/>
          <w:lang w:val="en-US" w:eastAsia="zh-CN" w:bidi="ar-SA"/>
        </w:rPr>
        <w:t>竞买人参与本次线上拍卖，即视为已充分阅知、理解并自愿接受本条款的全部内容，认可拍卖人、委托人享有上述全部权利且不对此提出任何异议及索赔。</w:t>
      </w:r>
    </w:p>
    <w:p w14:paraId="201347A2">
      <w:pPr>
        <w:pStyle w:val="11"/>
        <w:widowControl w:val="0"/>
        <w:shd w:val="clear" w:color="auto" w:fill="FFFFFF"/>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lang w:val="en-US" w:eastAsia="zh-CN" w:bidi="ar-SA"/>
        </w:rPr>
      </w:pPr>
      <w:r>
        <w:rPr>
          <w:rFonts w:hint="eastAsia" w:ascii="仿宋_GB2312" w:eastAsia="仿宋_GB2312" w:cs="仿宋_GB2312"/>
          <w:kern w:val="2"/>
          <w:sz w:val="28"/>
          <w:szCs w:val="28"/>
          <w:lang w:val="en-US" w:eastAsia="zh-CN" w:bidi="ar-SA"/>
        </w:rPr>
        <w:t>3、参加拍卖会的竞买人不得阻挠其他竞买人竞拍，不得操纵、垄断竞拍价格，严禁竞买人恶意串标，上述行为一经发现，将取消其竞买资格，并追究相关的法律责任。</w:t>
      </w:r>
    </w:p>
    <w:p w14:paraId="52D34040">
      <w:pPr>
        <w:pStyle w:val="11"/>
        <w:widowControl w:val="0"/>
        <w:shd w:val="clear" w:color="auto" w:fill="FFFFFF"/>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lang w:val="en-US" w:eastAsia="zh-CN" w:bidi="ar-SA"/>
        </w:rPr>
      </w:pPr>
      <w:r>
        <w:rPr>
          <w:rFonts w:hint="eastAsia" w:ascii="仿宋_GB2312" w:eastAsia="仿宋_GB2312" w:cs="仿宋_GB2312"/>
          <w:kern w:val="2"/>
          <w:sz w:val="28"/>
          <w:szCs w:val="28"/>
          <w:lang w:val="en-US" w:eastAsia="zh-CN" w:bidi="ar-SA"/>
        </w:rPr>
        <w:t>4、委托人与拍卖人不能向买受人提供拍卖标的成交价款发票，拍卖人仅开具拍卖</w:t>
      </w:r>
      <w:r>
        <w:rPr>
          <w:rFonts w:ascii="仿宋_GB2312" w:eastAsia="仿宋_GB2312" w:cs="仿宋_GB2312"/>
          <w:kern w:val="2"/>
          <w:sz w:val="28"/>
          <w:szCs w:val="28"/>
          <w:lang w:val="en-US" w:eastAsia="zh-CN" w:bidi="ar-SA"/>
        </w:rPr>
        <w:t>服务费</w:t>
      </w:r>
      <w:r>
        <w:rPr>
          <w:rFonts w:hint="eastAsia" w:ascii="仿宋_GB2312" w:eastAsia="仿宋_GB2312" w:cs="仿宋_GB2312"/>
          <w:kern w:val="2"/>
          <w:sz w:val="28"/>
          <w:szCs w:val="28"/>
          <w:lang w:val="en-US" w:eastAsia="zh-CN" w:bidi="ar-SA"/>
        </w:rPr>
        <w:t>发票。</w:t>
      </w:r>
    </w:p>
    <w:p w14:paraId="2A964E8B">
      <w:pPr>
        <w:pStyle w:val="11"/>
        <w:widowControl w:val="0"/>
        <w:shd w:val="clear" w:color="auto" w:fill="FFFFFF"/>
        <w:adjustRightInd w:val="0"/>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lang w:val="en-US" w:eastAsia="zh-CN" w:bidi="ar-SA"/>
        </w:rPr>
      </w:pPr>
      <w:r>
        <w:rPr>
          <w:rFonts w:hint="eastAsia" w:ascii="仿宋_GB2312" w:eastAsia="仿宋_GB2312" w:cs="仿宋_GB2312"/>
          <w:kern w:val="2"/>
          <w:sz w:val="28"/>
          <w:szCs w:val="28"/>
          <w:lang w:val="en-US" w:eastAsia="zh-CN" w:bidi="ar-SA"/>
        </w:rPr>
        <w:t>（二）交割要求</w:t>
      </w:r>
    </w:p>
    <w:p w14:paraId="0C001481">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1、买受人应在缴纳拍卖成交价款和拍卖</w:t>
      </w:r>
      <w:r>
        <w:rPr>
          <w:rFonts w:ascii="仿宋_GB2312" w:eastAsia="仿宋_GB2312" w:cs="仿宋_GB2312"/>
          <w:kern w:val="2"/>
          <w:sz w:val="28"/>
          <w:szCs w:val="28"/>
        </w:rPr>
        <w:t>服务费</w:t>
      </w:r>
      <w:r>
        <w:rPr>
          <w:rFonts w:hint="eastAsia" w:ascii="仿宋_GB2312" w:eastAsia="仿宋_GB2312" w:cs="仿宋_GB2312"/>
          <w:kern w:val="2"/>
          <w:sz w:val="28"/>
          <w:szCs w:val="28"/>
        </w:rPr>
        <w:t>后10天内完成提货，涉及到交割、提取、搬运、拆解、拍照、录像等过程中所发生的全部税、费均由买受人自行承担。买受人在运输和拆解的过程中应聘请具备专业资质的人员，严格按照规定做好拆解的防爆、防火及安全措施，拆解工作应符合相关安全和环保要求，买受人应按相关规定对拆解后的二手电动摩托车进行依法处置。买受人须服从车场现场人员安排，按消防有关规定，严格操作规程进行处理。</w:t>
      </w:r>
    </w:p>
    <w:p w14:paraId="04CB48B6">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2、运输标的物的车辆要求带车厢门，在交接标的物装车后需在车厢门贴上封条，随后进入拆解场地需抓拍区拍照，货物运到拆解场，买方通知当地商务主管部门，到现场在视频监控下打开封条，清点货物，并按要求做好台账，照片视频。</w:t>
      </w:r>
    </w:p>
    <w:p w14:paraId="62FB956C">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3、验车、拆解后出具每台车辆查验表，拆解视频，拆解证明，解体前照片，解体后照片。每台车一个视频，一份照片，一份证明、表。因证件缺失不能出具注销证明的，需由拆解公司出具说明函件等资料。</w:t>
      </w:r>
    </w:p>
    <w:p w14:paraId="0BA2A21F">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4、买受人对标的车辆进行单独存放、管理、建立工作台账及相关档案，对标的车辆储存、拆解全过程进行视频监控。相关档案资料保存不低于3年，监控录像保存不低于1年。买受人在拆解完成后，需将相关档案及视频资料发送至相关单位与拍卖平台。</w:t>
      </w:r>
    </w:p>
    <w:p w14:paraId="06DDEAF9">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5、本标的提货时需要现场停车场进行发动机打孔（孔径不小于1CM），每台车车牌需现场破坏剪开两段。资产一次性全部提走，不可遗留现场，如有遗留，将视为毁约。如果在现场拆除报废物资的过程中产生垃圾，需要由买家负责清理并承担清理费。</w:t>
      </w:r>
    </w:p>
    <w:p w14:paraId="32676FF5">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（二）交割费用与责任  </w:t>
      </w:r>
    </w:p>
    <w:p w14:paraId="79E2B95F">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1、买受人承担交割费用：因标的物移交所产生或需支付的费用包括但不限于工人工资、附加费用、搬运、装卸、运输、过磅称重、熔炼及环保处理等相关的一切费用均由买受人承担。</w:t>
      </w:r>
    </w:p>
    <w:p w14:paraId="62228BA9">
      <w:pPr>
        <w:pStyle w:val="11"/>
        <w:snapToGrid w:val="0"/>
        <w:spacing w:before="0" w:beforeAutospacing="0" w:after="0" w:afterAutospacing="0" w:line="460" w:lineRule="exact"/>
        <w:ind w:firstLine="560" w:firstLineChars="200"/>
        <w:jc w:val="both"/>
        <w:rPr>
          <w:rFonts w:hint="eastAsia" w:ascii="仿宋_GB2312" w:eastAsia="仿宋_GB2312" w:cs="仿宋_GB2312"/>
          <w:kern w:val="2"/>
          <w:sz w:val="28"/>
          <w:szCs w:val="28"/>
        </w:rPr>
      </w:pPr>
      <w:r>
        <w:rPr>
          <w:rFonts w:hint="eastAsia" w:ascii="仿宋_GB2312" w:eastAsia="仿宋_GB2312" w:cs="仿宋_GB2312"/>
          <w:kern w:val="2"/>
          <w:sz w:val="28"/>
          <w:szCs w:val="28"/>
        </w:rPr>
        <w:t>2、逾期未完成交割产生的违约责任： 买受人不按约定时间办理交割手续或完成提货的，每逾期一日须支付1万元/日的违约金，逾期超过3日的视买受人放弃剩余物资并同意交由拍卖人处理，履约保证金不予退还并保留追究买受人违约责任的权利。</w:t>
      </w:r>
    </w:p>
    <w:p w14:paraId="42BB7A81">
      <w:pPr>
        <w:snapToGrid w:val="0"/>
        <w:spacing w:line="440" w:lineRule="exact"/>
        <w:ind w:firstLine="560" w:firstLineChars="200"/>
        <w:rPr>
          <w:rFonts w:ascii="仿宋_GB2312" w:eastAsia="仿宋_GB2312" w:cs="仿宋_GB2312"/>
          <w:sz w:val="28"/>
          <w:szCs w:val="28"/>
        </w:rPr>
      </w:pPr>
      <w:r>
        <w:rPr>
          <w:rFonts w:hint="eastAsia" w:ascii="仿宋_GB2312" w:eastAsia="仿宋_GB2312" w:cs="仿宋_GB2312"/>
          <w:sz w:val="28"/>
          <w:szCs w:val="28"/>
        </w:rPr>
        <w:t>十二、本次竞拍活动遵循“公开、公平、公正、诚实信用”的原则，具备法律效力。竞买人在竞拍前须详细阅读本《竞买须知》及《拍卖公告》，并自愿遵守各项条款，对自己的竞拍行为承担法律责任。</w:t>
      </w:r>
    </w:p>
    <w:p w14:paraId="0EBAF96B">
      <w:pPr>
        <w:snapToGrid w:val="0"/>
        <w:spacing w:line="440" w:lineRule="exact"/>
        <w:ind w:left="5390" w:leftChars="2300" w:hanging="560" w:hangingChars="200"/>
        <w:jc w:val="left"/>
        <w:rPr>
          <w:rFonts w:ascii="仿宋_GB2312" w:eastAsia="仿宋_GB2312" w:cs="仿宋_GB2312"/>
          <w:sz w:val="28"/>
          <w:szCs w:val="28"/>
        </w:rPr>
      </w:pPr>
    </w:p>
    <w:p w14:paraId="139D9890">
      <w:pPr>
        <w:snapToGrid w:val="0"/>
        <w:spacing w:line="440" w:lineRule="exact"/>
        <w:ind w:left="6020" w:leftChars="2600" w:hanging="560" w:hangingChars="200"/>
        <w:jc w:val="left"/>
        <w:rPr>
          <w:rFonts w:ascii="仿宋_GB2312" w:eastAsia="仿宋_GB2312" w:cs="仿宋_GB2312"/>
          <w:color w:val="222222"/>
          <w:kern w:val="0"/>
          <w:sz w:val="28"/>
          <w:szCs w:val="28"/>
        </w:rPr>
      </w:pPr>
      <w:r>
        <w:rPr>
          <w:rFonts w:hint="eastAsia" w:ascii="仿宋_GB2312" w:eastAsia="仿宋_GB2312" w:cs="仿宋_GB2312"/>
          <w:sz w:val="28"/>
          <w:szCs w:val="28"/>
        </w:rPr>
        <w:t xml:space="preserve"> 广东迅兴拍卖有限公司                                          2025年</w:t>
      </w:r>
      <w:r>
        <w:rPr>
          <w:rFonts w:hint="eastAsia" w:ascii="仿宋_GB2312" w:eastAsia="仿宋_GB2312" w:cs="仿宋_GB2312"/>
          <w:sz w:val="28"/>
          <w:szCs w:val="28"/>
          <w:lang w:val="en-US" w:eastAsia="zh-CN"/>
        </w:rPr>
        <w:t>1</w:t>
      </w:r>
      <w:r>
        <w:rPr>
          <w:rFonts w:hint="eastAsia" w:ascii="仿宋_GB2312" w:eastAsia="仿宋_GB2312" w:cs="仿宋_GB2312"/>
          <w:color w:val="000000"/>
          <w:sz w:val="28"/>
          <w:szCs w:val="28"/>
        </w:rPr>
        <w:t>月</w:t>
      </w:r>
      <w:r>
        <w:rPr>
          <w:rFonts w:hint="eastAsia" w:ascii="仿宋_GB2312" w:eastAsia="仿宋_GB2312" w:cs="仿宋_GB2312"/>
          <w:color w:val="000000"/>
          <w:sz w:val="28"/>
          <w:szCs w:val="28"/>
          <w:lang w:val="en-US" w:eastAsia="zh-CN"/>
        </w:rPr>
        <w:t>5</w:t>
      </w:r>
      <w:bookmarkStart w:id="0" w:name="_GoBack"/>
      <w:bookmarkEnd w:id="0"/>
      <w:r>
        <w:rPr>
          <w:rFonts w:hint="eastAsia" w:ascii="仿宋_GB2312" w:eastAsia="仿宋_GB2312" w:cs="仿宋_GB2312"/>
          <w:color w:val="000000"/>
          <w:sz w:val="28"/>
          <w:szCs w:val="28"/>
        </w:rPr>
        <w:t>日</w:t>
      </w:r>
    </w:p>
    <w:sectPr>
      <w:pgSz w:w="11906" w:h="16838"/>
      <w:pgMar w:top="1134" w:right="1134" w:bottom="737" w:left="113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xi San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荣耀黑体">
    <w:altName w:val="黑体"/>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KSOFE4500885">
    <w:panose1 w:val="02010609060101010101"/>
    <w:charset w:val="86"/>
    <w:family w:val="auto"/>
    <w:pitch w:val="default"/>
    <w:sig w:usb0="00000001" w:usb1="00000000" w:usb2="00000000" w:usb3="00000000" w:csb0="00040001" w:csb1="00000000"/>
  </w:font>
  <w:font w:name="KSOFE44F9426">
    <w:panose1 w:val="02010609060101010101"/>
    <w:charset w:val="86"/>
    <w:family w:val="auto"/>
    <w:pitch w:val="default"/>
    <w:sig w:usb0="00000001"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ulTrailSpace/>
    <w:doNotExpandShiftReturn/>
    <w:adjustLineHeightInTable/>
    <w:growAutofit/>
    <w:useFELayout/>
    <w:compatSetting w:name="compatibilityMode" w:uri="http://schemas.microsoft.com/office/word" w:val="14"/>
  </w:compat>
  <w:docVars>
    <w:docVar w:name="commondata" w:val="eyJoZGlkIjoiZGRlNGNmYjdhMjc4N2U0NTYyYjU0YzIyMWQ2OWFlYmEifQ=="/>
    <w:docVar w:name="KSO_WPS_MARK_KEY" w:val="3d9749e6-83b0-4507-8f30-993ac9aef3ee"/>
  </w:docVars>
  <w:rsids>
    <w:rsidRoot w:val="00000000"/>
    <w:rsid w:val="142D0490"/>
    <w:rsid w:val="47E4461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unhideWhenUsed="0" w:uiPriority="0" w:semiHidden="0" w:name="heading 2"/>
    <w:lsdException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rPr>
  </w:style>
  <w:style w:type="paragraph" w:styleId="3">
    <w:name w:val="heading 2"/>
    <w:basedOn w:val="1"/>
    <w:next w:val="1"/>
    <w:uiPriority w:val="0"/>
    <w:pPr>
      <w:keepNext/>
      <w:keepLines/>
      <w:spacing w:before="260" w:after="260" w:line="415" w:lineRule="auto"/>
      <w:outlineLvl w:val="1"/>
    </w:pPr>
    <w:rPr>
      <w:rFonts w:ascii="Luxi Sans" w:hAnsi="Luxi Sans" w:eastAsia="荣耀黑体"/>
      <w:b/>
      <w:sz w:val="32"/>
    </w:rPr>
  </w:style>
  <w:style w:type="paragraph" w:styleId="4">
    <w:name w:val="heading 3"/>
    <w:basedOn w:val="1"/>
    <w:next w:val="1"/>
    <w:uiPriority w:val="0"/>
    <w:pPr>
      <w:keepNext/>
      <w:keepLines/>
      <w:spacing w:before="260" w:after="260" w:line="415" w:lineRule="auto"/>
      <w:outlineLvl w:val="2"/>
    </w:pPr>
    <w:rPr>
      <w:b/>
      <w:sz w:val="32"/>
    </w:rPr>
  </w:style>
  <w:style w:type="character" w:default="1" w:styleId="9">
    <w:name w:val="Default Paragraph Font"/>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rFonts w:ascii="等线" w:eastAsia="等线" w:cs="Arial"/>
      <w:sz w:val="18"/>
      <w:szCs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rFonts w:ascii="等线" w:eastAsia="等线" w:cs="Arial"/>
      <w:sz w:val="18"/>
      <w:szCs w:val="18"/>
    </w:rPr>
  </w:style>
  <w:style w:type="paragraph" w:styleId="7">
    <w:name w:val="Normal (Web)"/>
    <w:basedOn w:val="1"/>
    <w:autoRedefine/>
    <w:qFormat/>
    <w:uiPriority w:val="0"/>
    <w:pPr>
      <w:spacing w:before="100" w:beforeAutospacing="1" w:after="100" w:afterAutospacing="1"/>
      <w:jc w:val="left"/>
    </w:pPr>
    <w:rPr>
      <w:kern w:val="0"/>
      <w:sz w:val="24"/>
    </w:rPr>
  </w:style>
  <w:style w:type="character" w:styleId="10">
    <w:name w:val="Hyperlink"/>
    <w:basedOn w:val="9"/>
    <w:autoRedefine/>
    <w:qFormat/>
    <w:uiPriority w:val="0"/>
    <w:rPr>
      <w:color w:val="0563C1"/>
      <w:u w:val="single"/>
    </w:rPr>
  </w:style>
  <w:style w:type="paragraph" w:customStyle="1" w:styleId="11">
    <w:name w:val="普通(网站)1"/>
    <w:basedOn w:val="1"/>
    <w:autoRedefine/>
    <w:qFormat/>
    <w:uiPriority w:val="0"/>
    <w:pPr>
      <w:widowControl/>
      <w:spacing w:before="100" w:beforeAutospacing="1" w:after="100" w:afterAutospacing="1"/>
      <w:jc w:val="left"/>
    </w:pPr>
    <w:rPr>
      <w:rFonts w:ascii="宋体" w:cs="宋体"/>
      <w:kern w:val="0"/>
      <w:sz w:val="24"/>
    </w:rPr>
  </w:style>
  <w:style w:type="character" w:customStyle="1" w:styleId="12">
    <w:name w:val="awspan"/>
    <w:basedOn w:val="9"/>
    <w:autoRedefine/>
    <w:qFormat/>
    <w:uiPriority w:val="0"/>
  </w:style>
  <w:style w:type="paragraph" w:customStyle="1" w:styleId="13">
    <w:name w:val="修订1"/>
    <w:autoRedefine/>
    <w:uiPriority w:val="0"/>
    <w:rPr>
      <w:rFonts w:ascii="Calibri" w:hAnsi="Calibri" w:eastAsia="宋体" w:cs="Times New Roman"/>
      <w:kern w:val="2"/>
      <w:sz w:val="21"/>
      <w:lang w:val="en-US" w:eastAsia="zh-CN" w:bidi="ar-SA"/>
    </w:rPr>
  </w:style>
  <w:style w:type="paragraph" w:customStyle="1" w:styleId="14">
    <w:name w:val="修订2"/>
    <w:autoRedefine/>
    <w:qFormat/>
    <w:uiPriority w:val="0"/>
    <w:rPr>
      <w:rFonts w:ascii="Calibri" w:hAnsi="Calibri" w:eastAsia="宋体" w:cs="Times New Roman"/>
      <w:kern w:val="2"/>
      <w:sz w:val="21"/>
      <w:lang w:val="en-US" w:eastAsia="zh-CN" w:bidi="ar-SA"/>
    </w:rPr>
  </w:style>
  <w:style w:type="paragraph" w:customStyle="1" w:styleId="15">
    <w:name w:val="修订3"/>
    <w:autoRedefine/>
    <w:qFormat/>
    <w:uiPriority w:val="0"/>
    <w:rPr>
      <w:rFonts w:ascii="Calibri" w:hAnsi="Calibri" w:eastAsia="宋体" w:cs="Times New Roman"/>
      <w:kern w:val="2"/>
      <w:sz w:val="21"/>
      <w:lang w:val="en-US" w:eastAsia="zh-CN" w:bidi="ar-SA"/>
    </w:rPr>
  </w:style>
  <w:style w:type="character" w:customStyle="1" w:styleId="16">
    <w:name w:val="未处理的提及1"/>
    <w:basedOn w:val="9"/>
    <w:autoRedefine/>
    <w:qFormat/>
    <w:uiPriority w:val="0"/>
    <w:rPr>
      <w:color w:val="605E5C"/>
      <w:shd w:val="clear" w:color="auto" w:fill="E1DFDD"/>
    </w:rPr>
  </w:style>
  <w:style w:type="paragraph" w:customStyle="1" w:styleId="17">
    <w:name w:val="Revision"/>
    <w:qFormat/>
    <w:uiPriority w:val="0"/>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4</Pages>
  <Words>3095</Words>
  <Characters>3174</Characters>
  <Lines>6</Lines>
  <Paragraphs>2</Paragraphs>
  <TotalTime>15</TotalTime>
  <ScaleCrop>false</ScaleCrop>
  <LinksUpToDate>false</LinksUpToDate>
  <CharactersWithSpaces>3223</CharactersWithSpaces>
  <Application>WPS Office_12.1.0.24657_F1E327BC-269C-435d-A152-05C5408002CA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2025-12-30T06:50:00Z</dcterms:created>
  <dc:creator>Administrator</dc:creator>
  <cp:lastModifiedBy>徐韬</cp:lastModifiedBy>
  <dcterms:modified xsi:type="dcterms:W3CDTF">2026-01-05T02:01:07Z</dcterms:modified>
  <cp:revision>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eyJoZGlkIjoiNTU0ZmIwYTQ3NzlmZGUxZmU3Zjk0M2IyZTNmM2IxNjAiLCJ1c2VySWQiOiI1NzY5NTAxNzkifQ==</vt:lpwstr>
  </property>
  <property fmtid="{D5CDD505-2E9C-101B-9397-08002B2CF9AE}" pid="3" name="KSOProductBuildVer">
    <vt:lpwstr>2052-12.1.0.24657</vt:lpwstr>
  </property>
  <property fmtid="{D5CDD505-2E9C-101B-9397-08002B2CF9AE}" pid="4" name="ICV">
    <vt:lpwstr>7D176FFFE24D4794BF708B5387E47057_12</vt:lpwstr>
  </property>
</Properties>
</file>