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line="560" w:lineRule="exact"/>
        <w:ind w:right="420" w:firstLine="883" w:firstLineChars="200"/>
        <w:jc w:val="center"/>
        <w:rPr>
          <w:rFonts w:ascii="仿宋_GB2312" w:eastAsia="仿宋_GB2312" w:cs="仿宋_GB2312"/>
          <w:b/>
          <w:bCs/>
          <w:kern w:val="2"/>
          <w:sz w:val="44"/>
          <w:szCs w:val="44"/>
          <w:highlight w:val="none"/>
        </w:rPr>
      </w:pPr>
      <w:r>
        <w:rPr>
          <w:rFonts w:hint="eastAsia" w:ascii="仿宋_GB2312" w:eastAsia="仿宋_GB2312" w:cs="仿宋_GB2312"/>
          <w:b/>
          <w:bCs/>
          <w:kern w:val="2"/>
          <w:sz w:val="44"/>
          <w:szCs w:val="44"/>
          <w:highlight w:val="none"/>
        </w:rPr>
        <w:t>竞</w:t>
      </w:r>
      <w:r>
        <w:rPr>
          <w:rFonts w:ascii="仿宋_GB2312" w:eastAsia="仿宋_GB2312" w:cs="仿宋_GB2312"/>
          <w:b/>
          <w:bCs/>
          <w:kern w:val="2"/>
          <w:sz w:val="44"/>
          <w:szCs w:val="44"/>
          <w:highlight w:val="none"/>
        </w:rPr>
        <w:t xml:space="preserve"> </w:t>
      </w:r>
      <w:r>
        <w:rPr>
          <w:rFonts w:hint="eastAsia" w:ascii="仿宋_GB2312" w:eastAsia="仿宋_GB2312" w:cs="仿宋_GB2312"/>
          <w:b/>
          <w:bCs/>
          <w:kern w:val="2"/>
          <w:sz w:val="44"/>
          <w:szCs w:val="44"/>
          <w:highlight w:val="none"/>
        </w:rPr>
        <w:t>买</w:t>
      </w:r>
      <w:r>
        <w:rPr>
          <w:rFonts w:ascii="仿宋_GB2312" w:eastAsia="仿宋_GB2312" w:cs="仿宋_GB2312"/>
          <w:b/>
          <w:bCs/>
          <w:kern w:val="2"/>
          <w:sz w:val="44"/>
          <w:szCs w:val="44"/>
          <w:highlight w:val="none"/>
        </w:rPr>
        <w:t xml:space="preserve"> </w:t>
      </w:r>
      <w:r>
        <w:rPr>
          <w:rFonts w:hint="eastAsia" w:ascii="仿宋_GB2312" w:eastAsia="仿宋_GB2312" w:cs="仿宋_GB2312"/>
          <w:b/>
          <w:bCs/>
          <w:kern w:val="2"/>
          <w:sz w:val="44"/>
          <w:szCs w:val="44"/>
          <w:highlight w:val="none"/>
        </w:rPr>
        <w:t>须</w:t>
      </w:r>
      <w:r>
        <w:rPr>
          <w:rFonts w:ascii="仿宋_GB2312" w:eastAsia="仿宋_GB2312" w:cs="仿宋_GB2312"/>
          <w:b/>
          <w:bCs/>
          <w:kern w:val="2"/>
          <w:sz w:val="44"/>
          <w:szCs w:val="44"/>
          <w:highlight w:val="none"/>
        </w:rPr>
        <w:t xml:space="preserve"> </w:t>
      </w:r>
      <w:r>
        <w:rPr>
          <w:rFonts w:hint="eastAsia" w:ascii="仿宋_GB2312" w:eastAsia="仿宋_GB2312" w:cs="仿宋_GB2312"/>
          <w:b/>
          <w:bCs/>
          <w:kern w:val="2"/>
          <w:sz w:val="44"/>
          <w:szCs w:val="44"/>
          <w:highlight w:val="none"/>
        </w:rPr>
        <w:t>知</w:t>
      </w:r>
    </w:p>
    <w:p>
      <w:pPr>
        <w:pStyle w:val="12"/>
        <w:spacing w:before="0" w:beforeAutospacing="0" w:after="0" w:afterAutospacing="0" w:line="560" w:lineRule="exact"/>
        <w:ind w:right="420" w:firstLine="883" w:firstLineChars="200"/>
        <w:jc w:val="center"/>
        <w:rPr>
          <w:rFonts w:hint="eastAsia" w:ascii="仿宋_GB2312" w:eastAsia="仿宋_GB2312" w:cs="仿宋_GB2312"/>
          <w:b/>
          <w:bCs/>
          <w:kern w:val="2"/>
          <w:sz w:val="44"/>
          <w:szCs w:val="44"/>
          <w:highlight w:val="none"/>
        </w:rPr>
      </w:pPr>
    </w:p>
    <w:p>
      <w:pPr>
        <w:pStyle w:val="7"/>
        <w:shd w:val="clear" w:color="auto" w:fill="FFFFFF"/>
        <w:snapToGrid w:val="0"/>
        <w:spacing w:before="0" w:beforeAutospacing="0" w:after="0" w:afterAutospacing="0" w:line="380" w:lineRule="exact"/>
        <w:ind w:firstLine="562" w:firstLineChars="200"/>
        <w:jc w:val="both"/>
        <w:rPr>
          <w:b/>
          <w:bCs/>
          <w:color w:val="FF0000"/>
          <w:sz w:val="28"/>
          <w:szCs w:val="28"/>
          <w:highlight w:val="none"/>
        </w:rPr>
      </w:pPr>
      <w:r>
        <w:rPr>
          <w:rFonts w:hint="eastAsia"/>
          <w:b/>
          <w:bCs/>
          <w:color w:val="FF0000"/>
          <w:sz w:val="28"/>
          <w:szCs w:val="28"/>
          <w:highlight w:val="none"/>
        </w:rPr>
        <w:t>重要提示：拍卖标的按现状进行拍卖，所提供的拍卖资料、数据等信息仅供参考，委托人及拍卖人不承担任何瑕疵担保责任，请竞买人慎重参与竞拍。</w:t>
      </w:r>
    </w:p>
    <w:p>
      <w:pPr>
        <w:pStyle w:val="12"/>
        <w:snapToGrid w:val="0"/>
        <w:spacing w:before="0" w:beforeAutospacing="0" w:after="0" w:afterAutospacing="0" w:line="380" w:lineRule="exact"/>
        <w:ind w:right="55" w:firstLine="562" w:firstLineChars="200"/>
        <w:jc w:val="both"/>
        <w:rPr>
          <w:rFonts w:ascii="仿宋_GB2312" w:eastAsia="仿宋_GB2312" w:cs="仿宋_GB2312"/>
          <w:b/>
          <w:bCs/>
          <w:kern w:val="2"/>
          <w:sz w:val="44"/>
          <w:szCs w:val="44"/>
          <w:highlight w:val="none"/>
        </w:rPr>
      </w:pPr>
      <w:r>
        <w:rPr>
          <w:rFonts w:hint="eastAsia"/>
          <w:b/>
          <w:bCs/>
          <w:color w:val="FF0000"/>
          <w:sz w:val="28"/>
          <w:szCs w:val="28"/>
          <w:highlight w:val="none"/>
        </w:rPr>
        <w:t>竞买人在竞拍前须详细阅读本《竞买须知》及《拍卖公告》，本次竞拍活动遵循“公开、公平、公</w:t>
      </w:r>
      <w:bookmarkStart w:id="1" w:name="_GoBack"/>
      <w:bookmarkEnd w:id="1"/>
      <w:r>
        <w:rPr>
          <w:rFonts w:hint="eastAsia"/>
          <w:b/>
          <w:bCs/>
          <w:color w:val="FF0000"/>
          <w:sz w:val="28"/>
          <w:szCs w:val="28"/>
          <w:highlight w:val="none"/>
        </w:rPr>
        <w:t>正、诚实守信”的原则，竞拍活动具备法律效力。参加本次竞拍活动的竞买人承诺自愿遵守《竞买须知》及《拍卖公告》的各项条款，并对自己的行为承担法律责任。</w:t>
      </w:r>
    </w:p>
    <w:p>
      <w:pPr>
        <w:pStyle w:val="12"/>
        <w:snapToGrid w:val="0"/>
        <w:spacing w:before="0" w:beforeAutospacing="0" w:after="0" w:afterAutospacing="0" w:line="380" w:lineRule="exact"/>
        <w:ind w:right="420" w:firstLine="560" w:firstLineChars="200"/>
        <w:jc w:val="both"/>
        <w:rPr>
          <w:rFonts w:ascii="仿宋_GB2312" w:eastAsia="仿宋_GB2312" w:cs="仿宋_GB2312"/>
          <w:kern w:val="2"/>
          <w:sz w:val="28"/>
          <w:szCs w:val="28"/>
          <w:highlight w:val="none"/>
        </w:rPr>
      </w:pPr>
    </w:p>
    <w:p>
      <w:pPr>
        <w:widowControl/>
        <w:snapToGrid w:val="0"/>
        <w:spacing w:line="38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受委托，广东迅兴拍卖有限公司于2026年4月22日10时起至4月22日10：30时止（16个标的同时进行，竞价周期30分钟，延时除外）在全拍网</w:t>
      </w:r>
      <w:r>
        <w:rPr>
          <w:rFonts w:hint="eastAsia" w:ascii="仿宋_GB2312" w:eastAsia="仿宋_GB2312" w:cs="仿宋_GB2312"/>
          <w:sz w:val="28"/>
          <w:szCs w:val="28"/>
          <w:highlight w:val="none"/>
        </w:rPr>
        <w:t>平台</w:t>
      </w:r>
      <w:r>
        <w:rPr>
          <w:rFonts w:hint="eastAsia" w:ascii="仿宋_GB2312" w:eastAsia="仿宋_GB2312" w:cs="仿宋_GB2312"/>
          <w:sz w:val="28"/>
          <w:szCs w:val="28"/>
          <w:highlight w:val="none"/>
        </w:rPr>
        <w:t>（www.allauc.com</w:t>
      </w:r>
      <w:r>
        <w:rPr>
          <w:rFonts w:ascii="仿宋_GB2312" w:eastAsia="仿宋_GB2312" w:cs="仿宋_GB2312"/>
          <w:sz w:val="28"/>
          <w:szCs w:val="28"/>
          <w:highlight w:val="none"/>
        </w:rPr>
        <w:t>）</w:t>
      </w:r>
      <w:r>
        <w:rPr>
          <w:rFonts w:hint="eastAsia" w:ascii="仿宋_GB2312" w:eastAsia="仿宋_GB2312" w:cs="仿宋_GB2312"/>
          <w:sz w:val="28"/>
          <w:szCs w:val="28"/>
          <w:highlight w:val="none"/>
        </w:rPr>
        <w:t>公开拍卖一批罚没物资。现就有关事宜敬告各位竞买人：</w:t>
      </w:r>
    </w:p>
    <w:p>
      <w:pPr>
        <w:pStyle w:val="12"/>
        <w:numPr>
          <w:ilvl w:val="0"/>
          <w:numId w:val="1"/>
        </w:numPr>
        <w:snapToGrid w:val="0"/>
        <w:spacing w:before="0" w:beforeAutospacing="0" w:after="0" w:afterAutospacing="0" w:line="460" w:lineRule="exact"/>
        <w:ind w:firstLine="562" w:firstLineChars="200"/>
        <w:jc w:val="both"/>
        <w:rPr>
          <w:rFonts w:ascii="仿宋_GB2312" w:eastAsia="仿宋_GB2312" w:cs="仿宋_GB2312"/>
          <w:b/>
          <w:bCs/>
          <w:kern w:val="2"/>
          <w:sz w:val="28"/>
          <w:szCs w:val="28"/>
          <w:highlight w:val="none"/>
        </w:rPr>
      </w:pPr>
      <w:r>
        <w:rPr>
          <w:rFonts w:hint="eastAsia" w:ascii="仿宋_GB2312" w:eastAsia="仿宋_GB2312" w:cs="仿宋_GB2312"/>
          <w:b/>
          <w:bCs/>
          <w:kern w:val="2"/>
          <w:sz w:val="28"/>
          <w:szCs w:val="28"/>
          <w:highlight w:val="none"/>
        </w:rPr>
        <w:t>拍卖方式</w:t>
      </w:r>
    </w:p>
    <w:p>
      <w:pPr>
        <w:widowControl/>
        <w:shd w:val="clear" w:color="auto" w:fill="FFFFFF"/>
        <w:snapToGrid w:val="0"/>
        <w:spacing w:line="38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增价式拍卖，拍卖活动设置延时出价功能，在拍卖活动结束前5分钟内，如果有竞买人出价，就自动延迟5分钟。拍卖过程中，请竞买人注意拍卖的时间限制，在系统规定时间内出价，系统规定时间内无人再出价，即视为该项标的拍卖结束，由平台自动确认拍卖结果。</w:t>
      </w:r>
    </w:p>
    <w:p>
      <w:pPr>
        <w:pStyle w:val="12"/>
        <w:shd w:val="clear" w:color="auto" w:fill="FFFFFF"/>
        <w:snapToGrid w:val="0"/>
        <w:spacing w:before="0" w:beforeAutospacing="0" w:after="0" w:afterAutospacing="0" w:line="460" w:lineRule="exact"/>
        <w:ind w:firstLine="562" w:firstLineChars="200"/>
        <w:jc w:val="both"/>
        <w:rPr>
          <w:rFonts w:ascii="仿宋_GB2312" w:eastAsia="仿宋_GB2312" w:cs="仿宋_GB2312"/>
          <w:b/>
          <w:bCs/>
          <w:kern w:val="2"/>
          <w:sz w:val="28"/>
          <w:szCs w:val="28"/>
          <w:highlight w:val="none"/>
        </w:rPr>
      </w:pPr>
      <w:r>
        <w:rPr>
          <w:rFonts w:hint="eastAsia" w:ascii="仿宋_GB2312" w:eastAsia="仿宋_GB2312" w:cs="仿宋_GB2312"/>
          <w:b/>
          <w:bCs/>
          <w:kern w:val="2"/>
          <w:sz w:val="28"/>
          <w:szCs w:val="28"/>
          <w:highlight w:val="none"/>
        </w:rPr>
        <w:t>二、竞买资格</w:t>
      </w:r>
    </w:p>
    <w:p>
      <w:pPr>
        <w:pStyle w:val="12"/>
        <w:shd w:val="clear" w:color="auto" w:fill="FFFFFF"/>
        <w:snapToGrid w:val="0"/>
        <w:spacing w:before="0" w:beforeAutospacing="0" w:after="0" w:afterAutospacing="0" w:line="46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凡具备完全民事行为能力的自然人、法人和非法人组织均可参加</w:t>
      </w:r>
    </w:p>
    <w:p>
      <w:pPr>
        <w:snapToGrid w:val="0"/>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注：办理成交确认的主体应当与竞买人在全拍网注册并实名认证的竞买主体为同一人。竞买人应当遵守诚实信用原则，提交真实合法有效的资料，不具备相关资质或提交虚假材料的，不得参与本次竞买，竞买人应当承担由此产生的损失和法律责任。</w:t>
      </w:r>
    </w:p>
    <w:p>
      <w:pPr>
        <w:pStyle w:val="12"/>
        <w:snapToGrid w:val="0"/>
        <w:spacing w:before="0" w:beforeAutospacing="0" w:after="0" w:afterAutospacing="0" w:line="460" w:lineRule="exact"/>
        <w:ind w:firstLine="562" w:firstLineChars="200"/>
        <w:jc w:val="both"/>
        <w:rPr>
          <w:rFonts w:ascii="仿宋_GB2312" w:eastAsia="仿宋_GB2312" w:cs="仿宋_GB2312"/>
          <w:b/>
          <w:bCs/>
          <w:kern w:val="2"/>
          <w:sz w:val="28"/>
          <w:szCs w:val="28"/>
          <w:highlight w:val="none"/>
        </w:rPr>
      </w:pPr>
      <w:r>
        <w:rPr>
          <w:rFonts w:hint="eastAsia" w:ascii="仿宋_GB2312" w:eastAsia="仿宋_GB2312" w:cs="仿宋_GB2312"/>
          <w:b/>
          <w:bCs/>
          <w:kern w:val="2"/>
          <w:sz w:val="28"/>
          <w:szCs w:val="28"/>
          <w:highlight w:val="none"/>
        </w:rPr>
        <w:t>三、注册报名</w:t>
      </w:r>
    </w:p>
    <w:p>
      <w:pPr>
        <w:pStyle w:val="12"/>
        <w:snapToGrid w:val="0"/>
        <w:spacing w:before="0" w:beforeAutospacing="0" w:after="0" w:afterAutospacing="0" w:line="460" w:lineRule="exact"/>
        <w:ind w:firstLine="560" w:firstLineChars="200"/>
        <w:jc w:val="both"/>
        <w:rPr>
          <w:rFonts w:asci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eastAsia="仿宋_GB2312" w:cs="仿宋_GB2312"/>
          <w:kern w:val="2"/>
          <w:sz w:val="28"/>
          <w:szCs w:val="28"/>
          <w:highlight w:val="none"/>
        </w:rPr>
        <w:t>有意竞买</w:t>
      </w:r>
      <w:r>
        <w:rPr>
          <w:rFonts w:hint="eastAsia" w:ascii="仿宋_GB2312" w:eastAsia="仿宋_GB2312" w:cs="仿宋_GB2312"/>
          <w:kern w:val="2"/>
          <w:sz w:val="28"/>
          <w:szCs w:val="28"/>
          <w:highlight w:val="none"/>
        </w:rPr>
        <w:t>者</w:t>
      </w:r>
      <w:r>
        <w:rPr>
          <w:rFonts w:hint="eastAsia" w:ascii="仿宋_GB2312" w:eastAsia="仿宋_GB2312" w:cs="仿宋_GB2312"/>
          <w:kern w:val="2"/>
          <w:sz w:val="28"/>
          <w:szCs w:val="28"/>
          <w:highlight w:val="none"/>
        </w:rPr>
        <w:t>请于</w:t>
      </w:r>
      <w:r>
        <w:rPr>
          <w:rFonts w:hint="eastAsia" w:ascii="仿宋_GB2312" w:eastAsia="仿宋_GB2312" w:cs="仿宋_GB2312"/>
          <w:color w:val="000000" w:themeColor="text1"/>
          <w:kern w:val="2"/>
          <w:sz w:val="28"/>
          <w:szCs w:val="28"/>
          <w:highlight w:val="none"/>
          <w14:textFill>
            <w14:solidFill>
              <w14:schemeClr w14:val="tx1"/>
            </w14:solidFill>
          </w14:textFill>
        </w:rPr>
        <w:t>2026年4月21日下午5时前</w:t>
      </w:r>
      <w:r>
        <w:rPr>
          <w:rFonts w:hint="eastAsia" w:ascii="仿宋_GB2312" w:eastAsia="仿宋_GB2312" w:cs="仿宋_GB2312"/>
          <w:color w:val="000000" w:themeColor="text1"/>
          <w:kern w:val="2"/>
          <w:sz w:val="28"/>
          <w:szCs w:val="28"/>
          <w:highlight w:val="none"/>
          <w14:textFill>
            <w14:solidFill>
              <w14:schemeClr w14:val="tx1"/>
            </w14:solidFill>
          </w14:textFill>
        </w:rPr>
        <w:t>在</w:t>
      </w:r>
      <w:r>
        <w:rPr>
          <w:rFonts w:hint="eastAsia" w:ascii="仿宋_GB2312" w:eastAsia="仿宋_GB2312" w:cs="仿宋_GB2312"/>
          <w:color w:val="000000" w:themeColor="text1"/>
          <w:kern w:val="2"/>
          <w:sz w:val="28"/>
          <w:szCs w:val="28"/>
          <w:highlight w:val="none"/>
          <w14:textFill>
            <w14:solidFill>
              <w14:schemeClr w14:val="tx1"/>
            </w14:solidFill>
          </w14:textFill>
        </w:rPr>
        <w:t>全拍网平台（</w:t>
      </w:r>
      <w:r>
        <w:rPr>
          <w:highlight w:val="none"/>
        </w:rPr>
        <w:fldChar w:fldCharType="begin"/>
      </w:r>
      <w:r>
        <w:rPr>
          <w:highlight w:val="none"/>
        </w:rPr>
        <w:instrText xml:space="preserve"> HYPERLINK "https://www.allauc.com/" </w:instrText>
      </w:r>
      <w:r>
        <w:rPr>
          <w:highlight w:val="none"/>
        </w:rPr>
        <w:fldChar w:fldCharType="separate"/>
      </w:r>
      <w:r>
        <w:rPr>
          <w:rFonts w:hint="eastAsia" w:ascii="仿宋_GB2312" w:eastAsia="仿宋_GB2312" w:cs="仿宋_GB2312"/>
          <w:color w:val="000000" w:themeColor="text1"/>
          <w:kern w:val="2"/>
          <w:sz w:val="28"/>
          <w:szCs w:val="28"/>
          <w:highlight w:val="none"/>
          <w14:textFill>
            <w14:solidFill>
              <w14:schemeClr w14:val="tx1"/>
            </w14:solidFill>
          </w14:textFill>
        </w:rPr>
        <w:t>https://www.allauc.com</w:t>
      </w:r>
      <w:r>
        <w:rPr>
          <w:rFonts w:hint="eastAsia" w:ascii="仿宋_GB2312" w:eastAsia="仿宋_GB2312" w:cs="仿宋_GB2312"/>
          <w:color w:val="000000" w:themeColor="text1"/>
          <w:kern w:val="2"/>
          <w:sz w:val="28"/>
          <w:szCs w:val="28"/>
          <w:highlight w:val="none"/>
          <w14:textFill>
            <w14:solidFill>
              <w14:schemeClr w14:val="tx1"/>
            </w14:solidFill>
          </w14:textFill>
        </w:rPr>
        <w:fldChar w:fldCharType="end"/>
      </w:r>
      <w:r>
        <w:rPr>
          <w:rFonts w:hint="eastAsia" w:ascii="仿宋_GB2312" w:eastAsia="仿宋_GB2312" w:cs="仿宋_GB2312"/>
          <w:color w:val="000000" w:themeColor="text1"/>
          <w:kern w:val="2"/>
          <w:sz w:val="28"/>
          <w:szCs w:val="28"/>
          <w:highlight w:val="none"/>
          <w14:textFill>
            <w14:solidFill>
              <w14:schemeClr w14:val="tx1"/>
            </w14:solidFill>
          </w14:textFill>
        </w:rPr>
        <w:t>）注册账号并实名认证后线下缴纳竞买</w:t>
      </w:r>
      <w:r>
        <w:rPr>
          <w:rFonts w:hint="eastAsia" w:ascii="仿宋_GB2312" w:eastAsia="仿宋_GB2312" w:cs="仿宋_GB2312"/>
          <w:color w:val="000000" w:themeColor="text1"/>
          <w:kern w:val="2"/>
          <w:sz w:val="28"/>
          <w:szCs w:val="28"/>
          <w:highlight w:val="none"/>
          <w14:textFill>
            <w14:solidFill>
              <w14:schemeClr w14:val="tx1"/>
            </w14:solidFill>
          </w14:textFill>
        </w:rPr>
        <w:t>保证金至如下</w:t>
      </w:r>
      <w:r>
        <w:rPr>
          <w:rFonts w:hint="eastAsia" w:ascii="仿宋_GB2312" w:eastAsia="仿宋_GB2312" w:cs="仿宋_GB2312"/>
          <w:color w:val="000000" w:themeColor="text1"/>
          <w:kern w:val="2"/>
          <w:sz w:val="28"/>
          <w:szCs w:val="28"/>
          <w:highlight w:val="none"/>
          <w14:textFill>
            <w14:solidFill>
              <w14:schemeClr w14:val="tx1"/>
            </w14:solidFill>
          </w14:textFill>
        </w:rPr>
        <w:t>账户（户名：广东迅兴拍卖有限公司，开户行：中国农业银行深圳锦湖支行，账号：41009100040008541）。</w:t>
      </w:r>
    </w:p>
    <w:p>
      <w:pPr>
        <w:pStyle w:val="12"/>
        <w:snapToGrid w:val="0"/>
        <w:spacing w:before="0" w:beforeAutospacing="0" w:after="0" w:afterAutospacing="0" w:line="46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注：竞买人交纳竞买保证金时需备注：标的序号竞买保证金。</w:t>
      </w:r>
    </w:p>
    <w:p>
      <w:pPr>
        <w:snapToGrid w:val="0"/>
        <w:spacing w:line="380" w:lineRule="exact"/>
        <w:ind w:firstLine="562" w:firstLineChars="200"/>
        <w:rPr>
          <w:rFonts w:ascii="仿宋_GB2312" w:eastAsia="仿宋_GB2312" w:cs="仿宋_GB2312"/>
          <w:b/>
          <w:bCs/>
          <w:sz w:val="28"/>
          <w:szCs w:val="28"/>
          <w:highlight w:val="none"/>
        </w:rPr>
      </w:pPr>
      <w:r>
        <w:rPr>
          <w:rFonts w:hint="eastAsia" w:ascii="仿宋_GB2312" w:eastAsia="仿宋_GB2312" w:cs="仿宋_GB2312"/>
          <w:b/>
          <w:bCs/>
          <w:sz w:val="28"/>
          <w:szCs w:val="28"/>
          <w:highlight w:val="none"/>
        </w:rPr>
        <w:t>四、拍卖成交价款、拍卖服务费及其他费用及其支付方式</w:t>
      </w:r>
    </w:p>
    <w:p>
      <w:pPr>
        <w:widowControl/>
        <w:shd w:val="clear" w:color="auto" w:fill="FFFFFF"/>
        <w:snapToGrid w:val="0"/>
        <w:spacing w:line="38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1、拍卖成交后买受人须支付费用：①拍卖成交价款；②拍卖服务费（拍卖服务费率：拍卖成交价的5%）；</w:t>
      </w:r>
      <w:bookmarkStart w:id="0" w:name="OLE_LINK1"/>
      <w:r>
        <w:rPr>
          <w:rFonts w:hint="eastAsia" w:ascii="仿宋_GB2312" w:eastAsia="仿宋_GB2312" w:cs="仿宋_GB2312"/>
          <w:sz w:val="28"/>
          <w:szCs w:val="28"/>
          <w:highlight w:val="none"/>
        </w:rPr>
        <w:t>③</w:t>
      </w:r>
      <w:bookmarkEnd w:id="0"/>
      <w:r>
        <w:rPr>
          <w:rFonts w:hint="eastAsia" w:ascii="仿宋_GB2312" w:eastAsia="仿宋_GB2312" w:cs="仿宋_GB2312"/>
          <w:sz w:val="28"/>
          <w:szCs w:val="28"/>
          <w:highlight w:val="none"/>
        </w:rPr>
        <w:t>平台技术服务费（线上支付；费率为拍卖成交价的1%，当费用不足50元的，按50元收取）；</w:t>
      </w:r>
    </w:p>
    <w:p>
      <w:pPr>
        <w:widowControl/>
        <w:shd w:val="clear" w:color="auto" w:fill="FFFFFF"/>
        <w:snapToGrid w:val="0"/>
        <w:spacing w:line="38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2、</w:t>
      </w:r>
      <w:r>
        <w:rPr>
          <w:rFonts w:hint="eastAsia" w:ascii="仿宋_GB2312" w:eastAsia="仿宋_GB2312" w:cs="仿宋_GB2312"/>
          <w:sz w:val="28"/>
          <w:szCs w:val="28"/>
          <w:highlight w:val="none"/>
        </w:rPr>
        <w:t>上述费用须在拍卖成交之日起2个工作日内（以到账时间为准）付清，其中①②</w:t>
      </w:r>
      <w:r>
        <w:rPr>
          <w:rFonts w:hint="eastAsia" w:ascii="仿宋_GB2312" w:eastAsia="仿宋_GB2312" w:cs="仿宋_GB2312"/>
          <w:sz w:val="28"/>
          <w:szCs w:val="28"/>
          <w:highlight w:val="none"/>
        </w:rPr>
        <w:t>汇入我公司账上(户名：广东迅兴拍卖有限公司，开户行：中国农业银行深圳锦湖支行，账号：41009100040008541)</w:t>
      </w:r>
      <w:r>
        <w:rPr>
          <w:rFonts w:hint="eastAsia" w:ascii="仿宋_GB2312" w:eastAsia="仿宋_GB2312" w:cs="仿宋_GB2312"/>
          <w:sz w:val="28"/>
          <w:szCs w:val="28"/>
          <w:highlight w:val="none"/>
        </w:rPr>
        <w:t>，③在全拍网平台线上支付。</w:t>
      </w:r>
    </w:p>
    <w:p>
      <w:pPr>
        <w:snapToGrid w:val="0"/>
        <w:spacing w:line="340" w:lineRule="exact"/>
        <w:ind w:firstLine="562" w:firstLineChars="200"/>
        <w:rPr>
          <w:rFonts w:ascii="仿宋_GB2312" w:eastAsia="仿宋_GB2312" w:cs="仿宋_GB2312"/>
          <w:b/>
          <w:bCs/>
          <w:sz w:val="28"/>
          <w:szCs w:val="28"/>
          <w:highlight w:val="none"/>
        </w:rPr>
      </w:pPr>
      <w:r>
        <w:rPr>
          <w:rFonts w:hint="eastAsia" w:ascii="仿宋_GB2312" w:eastAsia="仿宋_GB2312" w:cs="仿宋_GB2312"/>
          <w:b/>
          <w:bCs/>
          <w:sz w:val="28"/>
          <w:szCs w:val="28"/>
          <w:highlight w:val="none"/>
        </w:rPr>
        <w:t>五、竞买保证金退回</w:t>
      </w:r>
    </w:p>
    <w:p>
      <w:pPr>
        <w:pStyle w:val="12"/>
        <w:snapToGrid w:val="0"/>
        <w:spacing w:before="0" w:beforeAutospacing="0" w:after="0" w:afterAutospacing="0" w:line="46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1、拍卖成交的，竞买保证金自动转作提货保证金，拍卖人接到委托人标的移交办理完结通知后，原路退回提货保证金；</w:t>
      </w:r>
    </w:p>
    <w:p>
      <w:pPr>
        <w:pStyle w:val="12"/>
        <w:snapToGrid w:val="0"/>
        <w:spacing w:before="0" w:beforeAutospacing="0" w:after="0" w:afterAutospacing="0" w:line="46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2、拍卖不成交的，竞买保证金在网络拍卖会结束后3个工作日内不计利息原路退回。</w:t>
      </w:r>
    </w:p>
    <w:p>
      <w:pPr>
        <w:pStyle w:val="12"/>
        <w:snapToGrid w:val="0"/>
        <w:spacing w:before="0" w:beforeAutospacing="0" w:after="0" w:afterAutospacing="0" w:line="460" w:lineRule="exact"/>
        <w:ind w:firstLine="562" w:firstLineChars="200"/>
        <w:jc w:val="both"/>
        <w:rPr>
          <w:rFonts w:ascii="仿宋_GB2312" w:eastAsia="仿宋_GB2312" w:cs="仿宋_GB2312"/>
          <w:b/>
          <w:bCs/>
          <w:kern w:val="2"/>
          <w:sz w:val="28"/>
          <w:szCs w:val="28"/>
          <w:highlight w:val="none"/>
        </w:rPr>
      </w:pPr>
      <w:r>
        <w:rPr>
          <w:rFonts w:hint="eastAsia" w:ascii="仿宋_GB2312" w:eastAsia="仿宋_GB2312" w:cs="仿宋_GB2312"/>
          <w:b/>
          <w:bCs/>
          <w:kern w:val="2"/>
          <w:sz w:val="28"/>
          <w:szCs w:val="28"/>
          <w:highlight w:val="none"/>
        </w:rPr>
        <w:t>六、违约处理</w:t>
      </w:r>
    </w:p>
    <w:p>
      <w:pPr>
        <w:pStyle w:val="12"/>
        <w:snapToGrid w:val="0"/>
        <w:spacing w:before="0" w:beforeAutospacing="0" w:after="0" w:afterAutospacing="0" w:line="46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1、买受人须在</w:t>
      </w:r>
      <w:r>
        <w:rPr>
          <w:rFonts w:hint="eastAsia" w:ascii="仿宋_GB2312" w:eastAsia="仿宋_GB2312" w:cs="仿宋_GB2312"/>
          <w:kern w:val="2"/>
          <w:sz w:val="28"/>
          <w:szCs w:val="28"/>
          <w:highlight w:val="none"/>
        </w:rPr>
        <w:t>拍卖</w:t>
      </w:r>
      <w:r>
        <w:rPr>
          <w:rFonts w:hint="eastAsia" w:ascii="仿宋_GB2312" w:eastAsia="仿宋_GB2312" w:cs="仿宋_GB2312"/>
          <w:kern w:val="2"/>
          <w:sz w:val="28"/>
          <w:szCs w:val="28"/>
          <w:highlight w:val="none"/>
        </w:rPr>
        <w:t>成交之</w:t>
      </w:r>
      <w:r>
        <w:rPr>
          <w:rFonts w:hint="eastAsia" w:ascii="仿宋_GB2312" w:eastAsia="仿宋_GB2312" w:cs="仿宋_GB2312"/>
          <w:kern w:val="2"/>
          <w:sz w:val="28"/>
          <w:szCs w:val="28"/>
          <w:highlight w:val="none"/>
        </w:rPr>
        <w:t>日起2个工作日内，</w:t>
      </w:r>
      <w:r>
        <w:rPr>
          <w:rFonts w:hint="eastAsia" w:ascii="仿宋_GB2312" w:eastAsia="仿宋_GB2312" w:cs="仿宋_GB2312"/>
          <w:kern w:val="2"/>
          <w:sz w:val="28"/>
          <w:szCs w:val="28"/>
          <w:highlight w:val="none"/>
        </w:rPr>
        <w:t>付清拍卖成交价款、拍卖服务费及平台技术服务费。买受人逾期或不交纳拍卖成交价款、拍卖服务费及平台技术服务费，视为买受人放弃该标的物，属于买受人违约，买受人须承担违约责任，且竞买保证金不予退还，同时委托人有权对该标的物另行处置。</w:t>
      </w:r>
    </w:p>
    <w:p>
      <w:pPr>
        <w:pStyle w:val="12"/>
        <w:snapToGrid w:val="0"/>
        <w:spacing w:before="0" w:beforeAutospacing="0" w:after="0" w:afterAutospacing="0" w:line="46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2、买受人付清相关款项和费用后，须在规定时间提货，逾期不提货所造成的损失由买受人自行承担，且买受人须承担相应违约责任，委托人有权对该标的物另行处置。</w:t>
      </w:r>
    </w:p>
    <w:p>
      <w:pPr>
        <w:pStyle w:val="12"/>
        <w:snapToGrid w:val="0"/>
        <w:spacing w:before="0" w:beforeAutospacing="0" w:after="0" w:afterAutospacing="0" w:line="46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3、买受人不按期签署《拍卖成交确认书》不按期支付成交价款、拍卖服务费和其它费用的，均视为买受人违约，买受人必须承担违约责任且所交保证金不予退还并支付成交金额20%的违约金。同时将买受人列入本公司拍卖黑名单，在违约未解决完毕的情况下，不得参加本公司的拍卖会。</w:t>
      </w:r>
    </w:p>
    <w:p>
      <w:pPr>
        <w:pStyle w:val="12"/>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4、买受人违约的，拍卖人有权解除合同并依照《中华人民共和国拍卖法》第三十九条的规定追究习买受人的违约责任并将其竞得标的收回再行拍卖；原买受人应当支付首次拍卖中本人及委托人应当支付的服务费。再行拍卖的价款低于原拍卖价款的，原买受人应当补足差额。拒不补交的，将按相关法律法规处理。</w:t>
      </w:r>
    </w:p>
    <w:p>
      <w:pPr>
        <w:snapToGrid w:val="0"/>
        <w:spacing w:line="460" w:lineRule="exact"/>
        <w:ind w:firstLine="562" w:firstLineChars="200"/>
        <w:rPr>
          <w:rFonts w:ascii="仿宋_GB2312" w:eastAsia="仿宋_GB2312" w:cs="仿宋_GB2312"/>
          <w:b/>
          <w:bCs/>
          <w:sz w:val="28"/>
          <w:szCs w:val="28"/>
          <w:highlight w:val="none"/>
        </w:rPr>
      </w:pPr>
      <w:r>
        <w:rPr>
          <w:rFonts w:hint="eastAsia" w:ascii="仿宋_GB2312" w:eastAsia="仿宋_GB2312" w:cs="仿宋_GB2312"/>
          <w:b/>
          <w:bCs/>
          <w:sz w:val="28"/>
          <w:szCs w:val="28"/>
          <w:highlight w:val="none"/>
        </w:rPr>
        <w:t>七、特别说明</w:t>
      </w:r>
    </w:p>
    <w:p>
      <w:pPr>
        <w:pStyle w:val="12"/>
        <w:widowControl w:val="0"/>
        <w:shd w:val="clear" w:color="auto" w:fill="FFFFFF"/>
        <w:adjustRightInd w:val="0"/>
        <w:snapToGrid w:val="0"/>
        <w:spacing w:before="0" w:beforeAutospacing="0" w:after="0" w:afterAutospacing="0" w:line="460" w:lineRule="exact"/>
        <w:ind w:firstLine="562" w:firstLineChars="200"/>
        <w:jc w:val="both"/>
        <w:rPr>
          <w:rFonts w:ascii="仿宋_GB2312" w:eastAsia="仿宋_GB2312" w:cs="仿宋_GB2312"/>
          <w:kern w:val="2"/>
          <w:sz w:val="28"/>
          <w:szCs w:val="28"/>
          <w:highlight w:val="none"/>
        </w:rPr>
      </w:pPr>
      <w:r>
        <w:rPr>
          <w:rFonts w:hint="eastAsia" w:ascii="仿宋_GB2312" w:eastAsia="仿宋_GB2312" w:cs="仿宋_GB2312"/>
          <w:b/>
          <w:bCs/>
          <w:color w:val="EE0000"/>
          <w:kern w:val="2"/>
          <w:sz w:val="28"/>
          <w:szCs w:val="28"/>
          <w:highlight w:val="none"/>
        </w:rPr>
        <w:t>（一）标</w:t>
      </w:r>
      <w:r>
        <w:rPr>
          <w:rFonts w:hint="eastAsia" w:ascii="仿宋_GB2312" w:eastAsia="仿宋_GB2312" w:cs="仿宋_GB2312"/>
          <w:b/>
          <w:bCs/>
          <w:color w:val="FF0000"/>
          <w:kern w:val="2"/>
          <w:sz w:val="28"/>
          <w:szCs w:val="28"/>
          <w:highlight w:val="none"/>
        </w:rPr>
        <w:t>的属于罚没性质的，没有完整的包装，没有专业检测、不能退换货，不能提供质量三包，没有售后服务。拍卖标的只进行了抽样检测，未按规格型号细分检测，同一项物品可能会存在不同型号规格，均以实物为准，未到现场看货的，收货后如有异议，责任由买受人自行承担。请谨慎参与竞拍！标的基本情况如下：</w:t>
      </w:r>
    </w:p>
    <w:p>
      <w:pPr>
        <w:snapToGrid w:val="0"/>
        <w:spacing w:line="4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1、本次拍卖标的罚没物资共为16个标的进行公开拍卖：</w:t>
      </w:r>
    </w:p>
    <w:p>
      <w:pPr>
        <w:snapToGrid w:val="0"/>
        <w:spacing w:line="4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标的1-14：该批次酒类存放年限较长，部分酒体存在自然挥发、少量走酒现象。</w:t>
      </w:r>
    </w:p>
    <w:p>
      <w:pPr>
        <w:snapToGrid w:val="0"/>
        <w:spacing w:line="4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标的15：该批次化妆品因存放及溯源原因未标注清晰日期，经核查部分产品临近保质期，均已完成品质核验，无质量安全问题。</w:t>
      </w:r>
    </w:p>
    <w:p>
      <w:pPr>
        <w:snapToGrid w:val="0"/>
        <w:spacing w:line="4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标的16：该批次茶叶、侧柏、花胶存放年份较久，因长期自然存放呈现出符合其年限的外观与状态，如颜色深浅、花胶表面粉末发霉，经专业鉴定无霉菌超标等问题，品质不影响食用及使用。</w:t>
      </w:r>
    </w:p>
    <w:p>
      <w:pPr>
        <w:snapToGrid w:val="0"/>
        <w:spacing w:line="460" w:lineRule="exact"/>
        <w:ind w:firstLine="560" w:firstLineChars="200"/>
        <w:rPr>
          <w:rFonts w:ascii="仿宋_GB2312" w:eastAsia="仿宋_GB2312" w:cs="仿宋_GB2312"/>
          <w:sz w:val="28"/>
          <w:szCs w:val="28"/>
          <w:highlight w:val="none"/>
        </w:rPr>
      </w:pPr>
      <w:r>
        <w:rPr>
          <w:rFonts w:hint="eastAsia" w:ascii="仿宋_GB2312" w:eastAsia="仿宋_GB2312" w:cs="仿宋_GB2312"/>
          <w:color w:val="FF0000"/>
          <w:sz w:val="28"/>
          <w:szCs w:val="28"/>
          <w:highlight w:val="none"/>
        </w:rPr>
        <w:t>注：本次拍卖标的为酒类、化妆品及茶叶、侧柏、花胶（仅限自行食用或使用），其《拍卖成交确认书》不作为市场流通的依据。该类物品如需进入市场流通环节，由买受人根据相关法律、法规自行办理市场流通环节所需手续、相关证照及粘贴中文标签，主动接受市场有关主管部门监督。对于拍卖标的在市场流通环节出现的一切问题，委托人、拍卖人不承担任何责任</w:t>
      </w:r>
      <w:r>
        <w:rPr>
          <w:rFonts w:hint="eastAsia" w:ascii="仿宋_GB2312" w:eastAsia="仿宋_GB2312" w:cs="仿宋_GB2312"/>
          <w:sz w:val="28"/>
          <w:szCs w:val="28"/>
          <w:highlight w:val="none"/>
        </w:rPr>
        <w:t>。</w:t>
      </w:r>
    </w:p>
    <w:p>
      <w:pPr>
        <w:snapToGrid w:val="0"/>
        <w:spacing w:line="46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2、拍卖标的按现场现状拍卖及交付，拍卖以标的现场现状为准，委托人和拍卖人不承担瑕疵担保责任，请慎重决定竞买行为。拍卖人所提供的拍卖资料及标的物的参考信息（包括但不限于标的名称、参数、照片、视频以及标的物的数量、重量、形状、包装、成色、品牌、真伪、规格型号、质感等信息及已知瑕疵说明等），现场标的物实物的信息会存在与参考信息内容不一致的情况，以看货时的现场现状为准，拍卖人提供数据仅供参考。竞买人竞拍前需要自行评估和调查，竞买人放弃核实的权利所产生的的后果由其自行承担。竞买人一旦参与竞价，即表明已完全了解，并接受标的物的现状和一切已知及未知的瑕疵。</w:t>
      </w:r>
    </w:p>
    <w:p>
      <w:pPr>
        <w:pStyle w:val="12"/>
        <w:shd w:val="clear" w:color="auto" w:fill="FFFFFF"/>
        <w:snapToGrid w:val="0"/>
        <w:spacing w:before="0" w:beforeAutospacing="0" w:after="0" w:afterAutospacing="0" w:line="44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3、凡是委托他人代为提货的，货物一旦交付给受托人，即表明货物移交完毕，以后发生的任何风险均与委托人和拍卖人无关。</w:t>
      </w:r>
    </w:p>
    <w:p>
      <w:pPr>
        <w:pStyle w:val="12"/>
        <w:snapToGrid w:val="0"/>
        <w:spacing w:before="0" w:beforeAutospacing="0" w:after="0" w:afterAutospacing="0" w:line="44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4、若拍卖成交后买受人未能在规定时间办理标的移交的，需要在拍卖成交之日起2日内向拍卖人申请延期移交，逾期或延期后仍不提货的，造成的损失由买受人自行承担。</w:t>
      </w:r>
    </w:p>
    <w:p>
      <w:pPr>
        <w:pStyle w:val="12"/>
        <w:shd w:val="clear" w:color="auto" w:fill="FFFFFF"/>
        <w:snapToGrid w:val="0"/>
        <w:spacing w:before="0" w:beforeAutospacing="0" w:after="0" w:afterAutospacing="0" w:line="440" w:lineRule="exact"/>
        <w:ind w:firstLine="560"/>
        <w:jc w:val="both"/>
        <w:rPr>
          <w:rFonts w:asci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14:textFill>
            <w14:solidFill>
              <w14:schemeClr w14:val="tx1"/>
            </w14:solidFill>
          </w14:textFill>
        </w:rPr>
        <w:t>5、标的属于罚没性质的，没有完整的包装，没有专业检测、不能退换货，不能提供质量三包，没有售后服务。拍卖标的只进行了抽样检测，未按规格型号细分检测，同一项物品可能会存在不同型号规格，均以实物为准，未到现场看货的，收货后如有异议，责任由买受人自行承担。请谨慎参与竞拍。</w:t>
      </w:r>
    </w:p>
    <w:p>
      <w:pPr>
        <w:pStyle w:val="12"/>
        <w:shd w:val="clear" w:color="auto" w:fill="FFFFFF"/>
        <w:snapToGrid w:val="0"/>
        <w:spacing w:before="0" w:beforeAutospacing="0" w:after="0" w:afterAutospacing="0" w:line="440" w:lineRule="exact"/>
        <w:ind w:firstLine="560"/>
        <w:jc w:val="both"/>
        <w:rPr>
          <w:rFonts w:ascii="仿宋_GB2312" w:eastAsia="仿宋_GB2312" w:cs="仿宋_GB2312"/>
          <w:kern w:val="2"/>
          <w:sz w:val="28"/>
          <w:szCs w:val="28"/>
          <w:highlight w:val="none"/>
        </w:rPr>
      </w:pPr>
      <w:r>
        <w:rPr>
          <w:rFonts w:hint="eastAsia" w:ascii="仿宋_GB2312" w:eastAsia="仿宋_GB2312" w:cs="仿宋_GB2312"/>
          <w:color w:val="FF0000"/>
          <w:kern w:val="2"/>
          <w:sz w:val="28"/>
          <w:szCs w:val="28"/>
          <w:highlight w:val="none"/>
        </w:rPr>
        <w:t>（二）竞拍成交后，委托人和拍卖人无法向买受人开具成交款（含保证金）发票，拍卖人仅开具拍卖服务费发票（成交价的5%）。全拍网平台开具平台服务费发票（成交价的1%</w:t>
      </w:r>
      <w:r>
        <w:rPr>
          <w:rFonts w:hint="eastAsia" w:ascii="仿宋_GB2312" w:eastAsia="仿宋_GB2312" w:cs="仿宋_GB2312"/>
          <w:color w:val="EE0000"/>
          <w:kern w:val="2"/>
          <w:sz w:val="28"/>
          <w:szCs w:val="28"/>
          <w:highlight w:val="none"/>
        </w:rPr>
        <w:t>）。</w:t>
      </w:r>
    </w:p>
    <w:p>
      <w:pPr>
        <w:snapToGrid w:val="0"/>
        <w:spacing w:line="380" w:lineRule="exact"/>
        <w:ind w:right="70" w:firstLine="482" w:firstLineChars="200"/>
        <w:textAlignment w:val="baseline"/>
        <w:rPr>
          <w:rFonts w:ascii="宋体"/>
          <w:b/>
          <w:sz w:val="24"/>
          <w:highlight w:val="none"/>
        </w:rPr>
      </w:pPr>
      <w:r>
        <w:rPr>
          <w:rFonts w:hint="eastAsia" w:ascii="宋体"/>
          <w:b/>
          <w:sz w:val="24"/>
          <w:highlight w:val="none"/>
        </w:rPr>
        <w:t>八、瑕疵声明</w:t>
      </w:r>
    </w:p>
    <w:p>
      <w:pPr>
        <w:pStyle w:val="12"/>
        <w:snapToGrid w:val="0"/>
        <w:spacing w:before="0" w:beforeAutospacing="0" w:after="0" w:afterAutospacing="0" w:line="460" w:lineRule="exact"/>
        <w:ind w:firstLine="560" w:firstLineChars="200"/>
        <w:jc w:val="both"/>
        <w:rPr>
          <w:rFonts w:ascii="仿宋_GB2312" w:eastAsia="仿宋_GB2312" w:cs="仿宋_GB2312"/>
          <w:kern w:val="2"/>
          <w:sz w:val="28"/>
          <w:szCs w:val="28"/>
          <w:highlight w:val="none"/>
        </w:rPr>
      </w:pPr>
      <w:r>
        <w:rPr>
          <w:rFonts w:hint="eastAsia" w:ascii="仿宋_GB2312" w:eastAsia="仿宋_GB2312" w:cs="仿宋_GB2312"/>
          <w:kern w:val="2"/>
          <w:sz w:val="28"/>
          <w:szCs w:val="28"/>
          <w:highlight w:val="none"/>
        </w:rPr>
        <w:t>本次拍卖是经法定公告期和展示期后才举行的，拍卖人提供的拍卖资料及清单，不作为任何保证及承诺。</w:t>
      </w:r>
      <w:r>
        <w:rPr>
          <w:rFonts w:hint="eastAsia" w:ascii="仿宋_GB2312" w:eastAsia="仿宋_GB2312" w:cs="仿宋_GB2312"/>
          <w:sz w:val="28"/>
          <w:szCs w:val="28"/>
          <w:highlight w:val="none"/>
        </w:rPr>
        <w:t>拍卖标的物在印刷、照片、视频、网页显示中的色彩、形态、比例、质感等与现场实物有差异的，应以现场实物为准，</w:t>
      </w:r>
      <w:r>
        <w:rPr>
          <w:rFonts w:hint="eastAsia" w:ascii="仿宋_GB2312" w:eastAsia="仿宋_GB2312" w:cs="仿宋_GB2312"/>
          <w:kern w:val="2"/>
          <w:sz w:val="28"/>
          <w:szCs w:val="28"/>
          <w:highlight w:val="none"/>
        </w:rPr>
        <w:t>按照标的现状进行拍卖，竞买人请于拍卖前认真实地察看拍卖标的原样及现状，并对标的物质量、外观等信息予以确认，竞买人已了解拍卖标的物所存在的瑕疵，拍卖人与委托人不承担标的瑕疵担保及其他相关责任。竞买人参与竞价的，即表明对标的所有现状及瑕疵的全面认可，并对自己的竞买行为承担全部法律责任。一经拍卖成交，与本次拍卖标的有关的所有后续事宜及风险，均由买受人自行承担，与拍卖人及委托人无关。</w:t>
      </w:r>
    </w:p>
    <w:p>
      <w:pPr>
        <w:pStyle w:val="12"/>
        <w:snapToGrid w:val="0"/>
        <w:spacing w:before="0" w:beforeAutospacing="0" w:after="0" w:afterAutospacing="0" w:line="460" w:lineRule="exact"/>
        <w:ind w:firstLine="560" w:firstLineChars="200"/>
        <w:jc w:val="both"/>
        <w:rPr>
          <w:highlight w:val="none"/>
        </w:rPr>
      </w:pPr>
      <w:r>
        <w:rPr>
          <w:rFonts w:hint="eastAsia" w:ascii="仿宋_GB2312" w:eastAsia="仿宋_GB2312" w:cs="仿宋_GB2312"/>
          <w:kern w:val="2"/>
          <w:sz w:val="28"/>
          <w:szCs w:val="28"/>
          <w:highlight w:val="none"/>
        </w:rPr>
        <w:t>竞买人须妥善保管本人的账户及密码，任何以注册账户登录和参与竞买的操作，均视为本人的行为。</w:t>
      </w:r>
    </w:p>
    <w:p>
      <w:pPr>
        <w:snapToGrid w:val="0"/>
        <w:spacing w:line="360" w:lineRule="exact"/>
        <w:ind w:left="420" w:leftChars="200"/>
        <w:rPr>
          <w:rFonts w:ascii="宋体"/>
          <w:sz w:val="24"/>
          <w:highlight w:val="none"/>
        </w:rPr>
      </w:pPr>
      <w:r>
        <w:rPr>
          <w:rFonts w:hint="eastAsia" w:ascii="宋体"/>
          <w:b/>
          <w:bCs/>
          <w:sz w:val="24"/>
          <w:highlight w:val="none"/>
        </w:rPr>
        <w:t>九、</w:t>
      </w:r>
      <w:r>
        <w:rPr>
          <w:rFonts w:hint="eastAsia" w:ascii="宋体" w:cs="黑体"/>
          <w:b/>
          <w:bCs/>
          <w:sz w:val="24"/>
          <w:highlight w:val="none"/>
        </w:rPr>
        <w:t>风险提示</w:t>
      </w:r>
    </w:p>
    <w:p>
      <w:pPr>
        <w:snapToGrid w:val="0"/>
        <w:spacing w:line="360" w:lineRule="exact"/>
        <w:ind w:firstLine="560" w:firstLineChars="200"/>
        <w:textAlignment w:val="baseline"/>
        <w:rPr>
          <w:rFonts w:ascii="仿宋_GB2312" w:eastAsia="仿宋_GB2312" w:cs="仿宋_GB2312"/>
          <w:sz w:val="28"/>
          <w:szCs w:val="28"/>
          <w:highlight w:val="none"/>
        </w:rPr>
      </w:pPr>
      <w:r>
        <w:rPr>
          <w:rFonts w:hint="eastAsia" w:ascii="仿宋_GB2312" w:eastAsia="仿宋_GB2312" w:cs="仿宋_GB2312"/>
          <w:sz w:val="28"/>
          <w:szCs w:val="28"/>
          <w:highlight w:val="none"/>
        </w:rPr>
        <w:t xml:space="preserve">1、拍卖人郑重建议，竞买人应在拍卖日前，以鉴定或其他方式亲自查看拟拍卖标的之原物，自行判断该拍卖标的是否符合其描述，慎重做出竞买决定。竞买人参加竞买的，视为已对竞买标的查验清楚、知悉并且了解拍卖标的瑕疵，并同意承担该瑕疵带来的全部风险。     </w:t>
      </w:r>
    </w:p>
    <w:p>
      <w:pPr>
        <w:snapToGrid w:val="0"/>
        <w:spacing w:line="360" w:lineRule="exact"/>
        <w:ind w:firstLine="560" w:firstLineChars="200"/>
        <w:textAlignment w:val="baseline"/>
        <w:rPr>
          <w:rFonts w:ascii="仿宋_GB2312" w:eastAsia="仿宋_GB2312" w:cs="仿宋_GB2312"/>
          <w:sz w:val="28"/>
          <w:szCs w:val="28"/>
          <w:highlight w:val="none"/>
        </w:rPr>
      </w:pPr>
      <w:r>
        <w:rPr>
          <w:rFonts w:hint="eastAsia" w:ascii="仿宋_GB2312" w:eastAsia="仿宋_GB2312" w:cs="仿宋_GB2312"/>
          <w:sz w:val="28"/>
          <w:szCs w:val="28"/>
          <w:highlight w:val="none"/>
        </w:rPr>
        <w:t xml:space="preserve">2、拍卖人有权根据拍卖活动的实际情况对拍卖材料进行修正或补充。竞买人点击应价的，均被视为已经知悉并接受认可该修正或补充。本拍卖资料的修正与补充均作为《拍卖成交确认书》的附件，具有法律效力。 </w:t>
      </w:r>
    </w:p>
    <w:p>
      <w:pPr>
        <w:snapToGrid w:val="0"/>
        <w:spacing w:line="360" w:lineRule="exact"/>
        <w:ind w:firstLine="560" w:firstLineChars="200"/>
        <w:textAlignment w:val="baseline"/>
        <w:rPr>
          <w:rFonts w:ascii="仿宋_GB2312" w:eastAsia="仿宋_GB2312" w:cs="仿宋_GB2312"/>
          <w:sz w:val="28"/>
          <w:szCs w:val="28"/>
          <w:highlight w:val="none"/>
        </w:rPr>
      </w:pPr>
      <w:r>
        <w:rPr>
          <w:rFonts w:hint="eastAsia" w:ascii="仿宋_GB2312" w:eastAsia="仿宋_GB2312" w:cs="仿宋_GB2312"/>
          <w:sz w:val="28"/>
          <w:szCs w:val="28"/>
          <w:highlight w:val="none"/>
        </w:rPr>
        <w:t xml:space="preserve">3、对于竞买人提供的各项资质文件以及根据《竞买须知》约定责任与义务，在项目执行过程中委托人、拍卖人有权对竞买人进行检查复核。对于资质复核不符合要求的，拍卖人有权取消竞买人报名资格；若资质造假的竞买人进行竞价，则竞价无效，且竞买人需承担由此产生的一切责任和损失，拍卖人有权扣除其已缴纳的保证金；对于已宣布中标的买受人，委托人有权取消该买受人中标资格，并由买受人承担由此产生的一切责任和损失，包括不限于罚没其全部竞买保证金、列入黑名单等，买受人无权要求退还。 </w:t>
      </w:r>
    </w:p>
    <w:p>
      <w:pPr>
        <w:snapToGrid w:val="0"/>
        <w:spacing w:line="360" w:lineRule="exact"/>
        <w:ind w:firstLine="560" w:firstLineChars="200"/>
        <w:textAlignment w:val="baseline"/>
        <w:rPr>
          <w:rFonts w:ascii="仿宋_GB2312" w:eastAsia="仿宋_GB2312" w:cs="仿宋_GB2312"/>
          <w:sz w:val="28"/>
          <w:szCs w:val="28"/>
          <w:highlight w:val="none"/>
        </w:rPr>
      </w:pPr>
      <w:r>
        <w:rPr>
          <w:rFonts w:hint="eastAsia" w:ascii="仿宋_GB2312" w:eastAsia="仿宋_GB2312" w:cs="仿宋_GB2312"/>
          <w:sz w:val="28"/>
          <w:szCs w:val="28"/>
          <w:highlight w:val="none"/>
        </w:rPr>
        <w:t>4、由于互联网可能出现的不稳定情况，不排除在线竞拍出现无法正常进行的各种情况（包括但不限于时间不同步、网络故障、电路故障、系统故障、被恶意攻击、停电或其他不可抗力因素等）而造成无法出价、页面无刷新、竞拍暂停等，竞买人一旦参与竞拍即代表已认知及认同在线竞拍所带来的有关风险，拍卖人及全拍网平台不承担基于上述情况或由于竞买人误操作所造成的一切损失及责任，由此所发生的一切风险和损失均由竞买人自行承担。</w:t>
      </w:r>
    </w:p>
    <w:p>
      <w:pPr>
        <w:snapToGrid w:val="0"/>
        <w:spacing w:line="360" w:lineRule="exact"/>
        <w:ind w:firstLine="560" w:firstLineChars="200"/>
        <w:textAlignment w:val="baseline"/>
        <w:rPr>
          <w:rFonts w:ascii="仿宋_GB2312" w:eastAsia="仿宋_GB2312" w:cs="仿宋_GB2312"/>
          <w:sz w:val="28"/>
          <w:szCs w:val="28"/>
          <w:highlight w:val="none"/>
        </w:rPr>
      </w:pPr>
      <w:r>
        <w:rPr>
          <w:rFonts w:hint="eastAsia" w:ascii="仿宋_GB2312" w:eastAsia="仿宋_GB2312" w:cs="仿宋_GB2312"/>
          <w:sz w:val="28"/>
          <w:szCs w:val="28"/>
          <w:highlight w:val="none"/>
        </w:rPr>
        <w:t xml:space="preserve"> 拍卖人有权根据拍卖活动的实际情况对拍卖材料进行修正或补充，在拍卖会期间拍卖师会以消息提示方式进行通知。竞买人点击应价的，均被视为已经知悉并接受认可该修正或补充。</w:t>
      </w:r>
    </w:p>
    <w:p>
      <w:pPr>
        <w:snapToGrid w:val="0"/>
        <w:spacing w:line="360" w:lineRule="exact"/>
        <w:ind w:firstLine="560" w:firstLineChars="200"/>
        <w:textAlignment w:val="baseline"/>
        <w:rPr>
          <w:rFonts w:ascii="仿宋_GB2312" w:eastAsia="仿宋_GB2312" w:cs="仿宋_GB2312"/>
          <w:sz w:val="28"/>
          <w:szCs w:val="28"/>
          <w:highlight w:val="none"/>
        </w:rPr>
      </w:pPr>
    </w:p>
    <w:p>
      <w:pPr>
        <w:snapToGrid w:val="0"/>
        <w:spacing w:line="360" w:lineRule="exact"/>
        <w:ind w:firstLine="560" w:firstLineChars="200"/>
        <w:textAlignment w:val="baseline"/>
        <w:rPr>
          <w:rFonts w:ascii="仿宋_GB2312" w:eastAsia="仿宋_GB2312" w:cs="仿宋_GB2312"/>
          <w:sz w:val="28"/>
          <w:szCs w:val="28"/>
          <w:highlight w:val="none"/>
        </w:rPr>
      </w:pPr>
      <w:r>
        <w:rPr>
          <w:rFonts w:hint="eastAsia" w:ascii="仿宋_GB2312" w:eastAsia="仿宋_GB2312" w:cs="仿宋_GB2312"/>
          <w:sz w:val="28"/>
          <w:szCs w:val="28"/>
          <w:highlight w:val="none"/>
        </w:rPr>
        <w:t>本《竞买须知》如有不同，以拍卖师在网络拍卖会发布消息提示为准。</w:t>
      </w:r>
    </w:p>
    <w:p>
      <w:pPr>
        <w:snapToGrid w:val="0"/>
        <w:spacing w:line="360" w:lineRule="exact"/>
        <w:ind w:firstLine="560" w:firstLineChars="200"/>
        <w:textAlignment w:val="baseline"/>
        <w:rPr>
          <w:rFonts w:ascii="仿宋_GB2312" w:eastAsia="仿宋_GB2312" w:cs="仿宋_GB2312"/>
          <w:sz w:val="28"/>
          <w:szCs w:val="28"/>
          <w:highlight w:val="none"/>
        </w:rPr>
      </w:pPr>
      <w:r>
        <w:rPr>
          <w:rFonts w:hint="eastAsia" w:ascii="仿宋_GB2312" w:eastAsia="仿宋_GB2312" w:cs="仿宋_GB2312"/>
          <w:sz w:val="28"/>
          <w:szCs w:val="28"/>
          <w:highlight w:val="none"/>
        </w:rPr>
        <w:t>本《竞买须知》最终解释权归广东迅兴拍卖有限公司。</w:t>
      </w:r>
    </w:p>
    <w:p>
      <w:pPr>
        <w:snapToGrid w:val="0"/>
        <w:spacing w:line="360" w:lineRule="exact"/>
        <w:ind w:firstLine="560" w:firstLineChars="200"/>
        <w:textAlignment w:val="baseline"/>
        <w:rPr>
          <w:rFonts w:ascii="仿宋_GB2312" w:eastAsia="仿宋_GB2312" w:cs="仿宋_GB2312"/>
          <w:sz w:val="28"/>
          <w:szCs w:val="28"/>
          <w:highlight w:val="none"/>
        </w:rPr>
      </w:pPr>
      <w:r>
        <w:rPr>
          <w:rFonts w:hint="eastAsia" w:ascii="仿宋_GB2312" w:eastAsia="仿宋_GB2312" w:cs="仿宋_GB2312"/>
          <w:sz w:val="28"/>
          <w:szCs w:val="28"/>
          <w:highlight w:val="none"/>
        </w:rPr>
        <w:t>本拍卖资料的内容请竞买人务必认真阅读，如有疑义请立即向拍卖人咨询澄清，竞买一旦进入拍卖平台即被认为竞买人已经详细查阅和详知且全部认可以上述拍卖资料,并自愿遵守本《竞买须知》《拍卖公告》等所规定的相关内容，所有拍卖标的按现状进行拍卖。</w:t>
      </w:r>
    </w:p>
    <w:p>
      <w:pPr>
        <w:snapToGrid w:val="0"/>
        <w:spacing w:line="360" w:lineRule="exact"/>
        <w:ind w:firstLine="560" w:firstLineChars="200"/>
        <w:textAlignment w:val="baseline"/>
        <w:rPr>
          <w:rFonts w:ascii="仿宋_GB2312" w:eastAsia="仿宋_GB2312" w:cs="仿宋_GB2312"/>
          <w:sz w:val="28"/>
          <w:szCs w:val="28"/>
          <w:highlight w:val="none"/>
        </w:rPr>
      </w:pPr>
    </w:p>
    <w:p>
      <w:pPr>
        <w:snapToGrid w:val="0"/>
        <w:spacing w:line="360" w:lineRule="exact"/>
        <w:ind w:right="6"/>
        <w:rPr>
          <w:rFonts w:ascii="宋体"/>
          <w:b/>
          <w:sz w:val="24"/>
          <w:highlight w:val="none"/>
        </w:rPr>
      </w:pPr>
    </w:p>
    <w:p>
      <w:pPr>
        <w:snapToGrid w:val="0"/>
        <w:spacing w:line="360" w:lineRule="exact"/>
        <w:ind w:right="6" w:firstLine="472" w:firstLineChars="196"/>
        <w:rPr>
          <w:rFonts w:ascii="宋体"/>
          <w:b/>
          <w:sz w:val="24"/>
          <w:highlight w:val="none"/>
        </w:rPr>
      </w:pPr>
      <w:r>
        <w:rPr>
          <w:rFonts w:hint="eastAsia" w:ascii="宋体"/>
          <w:b/>
          <w:sz w:val="24"/>
          <w:highlight w:val="none"/>
        </w:rPr>
        <w:t>温馨提示：竞买人请在拍卖会前15分钟登录全拍网拍卖平台。</w:t>
      </w:r>
    </w:p>
    <w:p>
      <w:pPr>
        <w:rPr>
          <w:highlight w:val="none"/>
        </w:rPr>
      </w:pPr>
    </w:p>
    <w:p>
      <w:pPr>
        <w:pStyle w:val="12"/>
        <w:shd w:val="clear" w:color="auto" w:fill="FFFFFF"/>
        <w:snapToGrid w:val="0"/>
        <w:spacing w:before="0" w:beforeAutospacing="0" w:after="0" w:afterAutospacing="0" w:line="440" w:lineRule="exact"/>
        <w:ind w:firstLine="560"/>
        <w:jc w:val="both"/>
        <w:rPr>
          <w:rFonts w:ascii="仿宋_GB2312" w:eastAsia="仿宋_GB2312" w:cs="仿宋_GB2312"/>
          <w:kern w:val="2"/>
          <w:sz w:val="28"/>
          <w:szCs w:val="28"/>
          <w:highlight w:val="none"/>
        </w:rPr>
      </w:pPr>
    </w:p>
    <w:p>
      <w:pPr>
        <w:snapToGrid w:val="0"/>
        <w:spacing w:line="440" w:lineRule="exact"/>
        <w:ind w:left="5390" w:leftChars="2300" w:hanging="560" w:hangingChars="200"/>
        <w:rPr>
          <w:rFonts w:ascii="仿宋_GB2312" w:eastAsia="仿宋_GB2312" w:cs="仿宋_GB2312"/>
          <w:sz w:val="28"/>
          <w:szCs w:val="28"/>
          <w:highlight w:val="none"/>
        </w:rPr>
      </w:pPr>
    </w:p>
    <w:p>
      <w:pPr>
        <w:snapToGrid w:val="0"/>
        <w:spacing w:line="440" w:lineRule="exact"/>
        <w:ind w:left="6020" w:leftChars="2600" w:hanging="560" w:hangingChars="200"/>
        <w:rPr>
          <w:rFonts w:ascii="仿宋_GB2312" w:eastAsia="仿宋_GB2312" w:cs="仿宋_GB2312"/>
          <w:sz w:val="28"/>
          <w:szCs w:val="28"/>
          <w:highlight w:val="none"/>
        </w:rPr>
      </w:pPr>
    </w:p>
    <w:p>
      <w:pPr>
        <w:snapToGrid w:val="0"/>
        <w:spacing w:line="440" w:lineRule="exact"/>
        <w:ind w:left="3990" w:leftChars="1900" w:firstLine="1680" w:firstLineChars="6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 xml:space="preserve">广东迅兴拍卖有限公司 </w:t>
      </w:r>
    </w:p>
    <w:p>
      <w:pPr>
        <w:snapToGrid w:val="0"/>
        <w:spacing w:line="440" w:lineRule="exact"/>
        <w:ind w:left="3990" w:leftChars="1900" w:firstLine="1680" w:firstLineChars="600"/>
        <w:jc w:val="left"/>
        <w:rPr>
          <w:rFonts w:ascii="仿宋_GB2312" w:eastAsia="仿宋_GB2312" w:cs="仿宋_GB2312"/>
          <w:color w:val="222222"/>
          <w:kern w:val="0"/>
          <w:sz w:val="28"/>
          <w:szCs w:val="28"/>
          <w:highlight w:val="none"/>
        </w:rPr>
      </w:pPr>
      <w:r>
        <w:rPr>
          <w:rFonts w:hint="eastAsia" w:ascii="仿宋_GB2312" w:eastAsia="仿宋_GB2312" w:cs="仿宋_GB2312"/>
          <w:sz w:val="28"/>
          <w:szCs w:val="28"/>
          <w:highlight w:val="none"/>
        </w:rPr>
        <w:t xml:space="preserve">  2026年4</w:t>
      </w:r>
      <w:r>
        <w:rPr>
          <w:rFonts w:hint="eastAsia" w:ascii="仿宋_GB2312" w:eastAsia="仿宋_GB2312" w:cs="仿宋_GB2312"/>
          <w:color w:val="000000"/>
          <w:sz w:val="28"/>
          <w:szCs w:val="28"/>
          <w:highlight w:val="none"/>
        </w:rPr>
        <w:t>月15日</w:t>
      </w:r>
    </w:p>
    <w:sectPr>
      <w:pgSz w:w="11906" w:h="16838"/>
      <w:pgMar w:top="1134" w:right="1474" w:bottom="102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荣耀黑体">
    <w:altName w:val="黑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lNGNmYjdhMjc4N2U0NTYyYjU0YzIyMWQ2OWFlYmEifQ=="/>
    <w:docVar w:name="KSO_WPS_MARK_KEY" w:val="3d9749e6-83b0-4507-8f30-993ac9aef3ee"/>
  </w:docVars>
  <w:rsids>
    <w:rsidRoot w:val="00481B11"/>
    <w:rsid w:val="00411344"/>
    <w:rsid w:val="00481B11"/>
    <w:rsid w:val="00547ADA"/>
    <w:rsid w:val="006E18AF"/>
    <w:rsid w:val="00966499"/>
    <w:rsid w:val="009C21A1"/>
    <w:rsid w:val="00A278C0"/>
    <w:rsid w:val="00CD3B38"/>
    <w:rsid w:val="00D46141"/>
    <w:rsid w:val="01194CE4"/>
    <w:rsid w:val="04F81DB4"/>
    <w:rsid w:val="137074AD"/>
    <w:rsid w:val="21F902B7"/>
    <w:rsid w:val="22BC4F1A"/>
    <w:rsid w:val="28172B5C"/>
    <w:rsid w:val="2BD11ABF"/>
    <w:rsid w:val="2E172F8D"/>
    <w:rsid w:val="3F260EB3"/>
    <w:rsid w:val="52F947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等线" w:eastAsia="等线" w:cs="Arial"/>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basedOn w:val="9"/>
    <w:qFormat/>
    <w:uiPriority w:val="0"/>
    <w:rPr>
      <w:b/>
      <w:bCs/>
    </w:rPr>
  </w:style>
  <w:style w:type="character" w:styleId="11">
    <w:name w:val="Hyperlink"/>
    <w:basedOn w:val="9"/>
    <w:qFormat/>
    <w:uiPriority w:val="0"/>
    <w:rPr>
      <w:color w:val="0563C1"/>
      <w:u w:val="single"/>
    </w:rPr>
  </w:style>
  <w:style w:type="paragraph" w:customStyle="1" w:styleId="12">
    <w:name w:val="普通(网站)1"/>
    <w:basedOn w:val="1"/>
    <w:qFormat/>
    <w:uiPriority w:val="0"/>
    <w:pPr>
      <w:widowControl/>
      <w:spacing w:before="100" w:beforeAutospacing="1" w:after="100" w:afterAutospacing="1"/>
      <w:jc w:val="left"/>
    </w:pPr>
    <w:rPr>
      <w:rFonts w:ascii="宋体" w:cs="宋体"/>
      <w:kern w:val="0"/>
      <w:sz w:val="24"/>
    </w:rPr>
  </w:style>
  <w:style w:type="character" w:customStyle="1" w:styleId="13">
    <w:name w:val="awspan"/>
    <w:basedOn w:val="9"/>
    <w:qFormat/>
    <w:uiPriority w:val="0"/>
  </w:style>
  <w:style w:type="paragraph" w:customStyle="1" w:styleId="14">
    <w:name w:val="修订1"/>
    <w:qFormat/>
    <w:uiPriority w:val="0"/>
    <w:rPr>
      <w:rFonts w:ascii="Calibri" w:hAnsi="Calibri" w:eastAsia="宋体" w:cs="Times New Roman"/>
      <w:kern w:val="2"/>
      <w:sz w:val="21"/>
      <w:lang w:val="en-US" w:eastAsia="zh-CN" w:bidi="ar-SA"/>
    </w:rPr>
  </w:style>
  <w:style w:type="paragraph" w:customStyle="1" w:styleId="15">
    <w:name w:val="修订2"/>
    <w:qFormat/>
    <w:uiPriority w:val="0"/>
    <w:rPr>
      <w:rFonts w:ascii="Calibri" w:hAnsi="Calibri" w:eastAsia="宋体" w:cs="Times New Roman"/>
      <w:kern w:val="2"/>
      <w:sz w:val="21"/>
      <w:lang w:val="en-US" w:eastAsia="zh-CN" w:bidi="ar-SA"/>
    </w:rPr>
  </w:style>
  <w:style w:type="paragraph" w:customStyle="1" w:styleId="16">
    <w:name w:val="修订3"/>
    <w:qFormat/>
    <w:uiPriority w:val="0"/>
    <w:rPr>
      <w:rFonts w:ascii="Calibri" w:hAnsi="Calibri" w:eastAsia="宋体" w:cs="Times New Roman"/>
      <w:kern w:val="2"/>
      <w:sz w:val="21"/>
      <w:lang w:val="en-US" w:eastAsia="zh-CN" w:bidi="ar-SA"/>
    </w:rPr>
  </w:style>
  <w:style w:type="character" w:customStyle="1" w:styleId="17">
    <w:name w:val="未处理的提及1"/>
    <w:basedOn w:val="9"/>
    <w:qFormat/>
    <w:uiPriority w:val="0"/>
    <w:rPr>
      <w:color w:val="605E5C"/>
      <w:shd w:val="clear" w:color="auto" w:fill="E1DFDD"/>
    </w:rPr>
  </w:style>
  <w:style w:type="paragraph" w:customStyle="1" w:styleId="18">
    <w:name w:val="修订4"/>
    <w:qFormat/>
    <w:uiPriority w:val="0"/>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1961</Words>
  <Characters>2099</Characters>
  <Lines>77</Lines>
  <Paragraphs>71</Paragraphs>
  <TotalTime>2</TotalTime>
  <ScaleCrop>false</ScaleCrop>
  <LinksUpToDate>false</LinksUpToDate>
  <CharactersWithSpaces>3989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2026-04-14T13:35:00Z</dcterms:created>
  <dc:creator>Administrator</dc:creator>
  <cp:lastModifiedBy>Administrator</cp:lastModifiedBy>
  <dcterms:modified xsi:type="dcterms:W3CDTF">2026-04-15T11:35:05Z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eyJoZGlkIjoiNTU0ZmIwYTQ3NzlmZGUxZmU3Zjk0M2IyZTNmM2IxNjAiLCJ1c2VySWQiOiI1NzY5NTAxNzkifQ==</vt:lpwstr>
  </property>
  <property fmtid="{D5CDD505-2E9C-101B-9397-08002B2CF9AE}" pid="3" name="KSOProductBuildVer">
    <vt:lpwstr>2052-11.1.0.9021</vt:lpwstr>
  </property>
  <property fmtid="{D5CDD505-2E9C-101B-9397-08002B2CF9AE}" pid="4" name="ICV">
    <vt:lpwstr>4A00453BB05D4BD196B1A1A51551543D_13</vt:lpwstr>
  </property>
</Properties>
</file>